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AC" w:rsidRPr="00237F2E" w:rsidRDefault="007804AC" w:rsidP="00237F2E">
      <w:pPr>
        <w:pStyle w:val="Heading5"/>
        <w:spacing w:before="0" w:beforeAutospacing="0" w:after="120" w:afterAutospacing="0"/>
      </w:pPr>
      <w:r w:rsidRPr="00237F2E">
        <w:t>Federal Regulations Adopted by Reference</w:t>
      </w:r>
      <w:bookmarkStart w:id="0" w:name="_GoBack"/>
      <w:bookmarkEnd w:id="0"/>
    </w:p>
    <w:p w:rsidR="00B271E9" w:rsidRPr="00237F2E" w:rsidRDefault="007804AC" w:rsidP="00237F2E">
      <w:pPr>
        <w:pStyle w:val="Heading5"/>
        <w:spacing w:before="0" w:beforeAutospacing="0" w:after="120" w:afterAutospacing="0"/>
        <w:rPr>
          <w:b w:val="0"/>
        </w:rPr>
      </w:pPr>
      <w:r w:rsidRPr="00237F2E">
        <w:rPr>
          <w:b w:val="0"/>
        </w:rPr>
        <w:t xml:space="preserve">In accordance with Rule 62-204.800, F.A.C., the </w:t>
      </w:r>
      <w:r w:rsidR="000D38BB" w:rsidRPr="00237F2E">
        <w:rPr>
          <w:b w:val="0"/>
        </w:rPr>
        <w:t xml:space="preserve">following </w:t>
      </w:r>
      <w:r w:rsidRPr="00237F2E">
        <w:rPr>
          <w:b w:val="0"/>
        </w:rPr>
        <w:t xml:space="preserve">federal regulation </w:t>
      </w:r>
      <w:r w:rsidR="000D38BB" w:rsidRPr="00237F2E">
        <w:rPr>
          <w:b w:val="0"/>
        </w:rPr>
        <w:t xml:space="preserve">in Title 40 of the Code of Federal Regulations </w:t>
      </w:r>
      <w:r w:rsidR="004B3A35" w:rsidRPr="00237F2E">
        <w:rPr>
          <w:b w:val="0"/>
        </w:rPr>
        <w:t xml:space="preserve">(CFR) </w:t>
      </w:r>
      <w:r w:rsidR="000D38BB" w:rsidRPr="00237F2E">
        <w:rPr>
          <w:b w:val="0"/>
        </w:rPr>
        <w:t xml:space="preserve">was </w:t>
      </w:r>
      <w:r w:rsidRPr="00237F2E">
        <w:rPr>
          <w:b w:val="0"/>
        </w:rPr>
        <w:t xml:space="preserve">adopted by reference.  </w:t>
      </w:r>
      <w:r w:rsidR="000D38BB" w:rsidRPr="00237F2E">
        <w:rPr>
          <w:b w:val="0"/>
        </w:rPr>
        <w:t>T</w:t>
      </w:r>
      <w:r w:rsidRPr="00237F2E">
        <w:rPr>
          <w:b w:val="0"/>
        </w:rPr>
        <w:t>he original federal rule numbering has been retained.</w:t>
      </w:r>
    </w:p>
    <w:p w:rsidR="000368AC" w:rsidRPr="00237F2E" w:rsidRDefault="000368AC" w:rsidP="00237F2E">
      <w:pPr>
        <w:pStyle w:val="Heading5"/>
        <w:spacing w:before="0" w:beforeAutospacing="0" w:after="120" w:afterAutospacing="0"/>
        <w:ind w:left="360"/>
        <w:rPr>
          <w:b w:val="0"/>
          <w:i/>
        </w:rPr>
      </w:pPr>
      <w:r w:rsidRPr="00237F2E">
        <w:rPr>
          <w:b w:val="0"/>
          <w:i/>
        </w:rPr>
        <w:t xml:space="preserve">Federal Revision Date:  </w:t>
      </w:r>
      <w:r w:rsidR="00FD433C">
        <w:rPr>
          <w:b w:val="0"/>
          <w:i/>
        </w:rPr>
        <w:t>September 13, 2010</w:t>
      </w:r>
    </w:p>
    <w:p w:rsidR="00237F2E" w:rsidRPr="00237F2E" w:rsidRDefault="00237F2E" w:rsidP="00237F2E">
      <w:pPr>
        <w:pStyle w:val="Heading5"/>
        <w:spacing w:before="0" w:beforeAutospacing="0" w:after="120" w:afterAutospacing="0"/>
      </w:pPr>
      <w:r w:rsidRPr="00237F2E">
        <w:t xml:space="preserve">Subpart </w:t>
      </w:r>
      <w:proofErr w:type="gramStart"/>
      <w:r w:rsidRPr="00237F2E">
        <w:t>A—</w:t>
      </w:r>
      <w:proofErr w:type="gramEnd"/>
      <w:r w:rsidRPr="00237F2E">
        <w:t>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et seq</w:t>
      </w:r>
      <w:proofErr w:type="gramStart"/>
      <w:r w:rsidRPr="00237F2E">
        <w:rPr>
          <w:i/>
          <w:iCs/>
          <w:sz w:val="20"/>
          <w:szCs w:val="20"/>
        </w:rPr>
        <w:t xml:space="preserve">. </w:t>
      </w:r>
      <w:r w:rsidRPr="00237F2E">
        <w:rPr>
          <w:sz w:val="20"/>
          <w:szCs w:val="20"/>
        </w:rPr>
        <w:t>)</w:t>
      </w:r>
      <w:proofErr w:type="gramEnd"/>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lastRenderedPageBreak/>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r w:rsidRPr="00237F2E">
        <w:rPr>
          <w:i/>
          <w:iCs/>
          <w:sz w:val="20"/>
          <w:szCs w:val="20"/>
        </w:rPr>
        <w:t xml:space="preserve">Nitrogen oxides </w:t>
      </w:r>
      <w:r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lastRenderedPageBreak/>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lastRenderedPageBreak/>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proofErr w:type="gramStart"/>
      <w:r w:rsidRPr="00237F2E">
        <w:rPr>
          <w:sz w:val="20"/>
          <w:szCs w:val="20"/>
        </w:rPr>
        <w:t>g—</w:t>
      </w:r>
      <w:proofErr w:type="gramEnd"/>
      <w:r w:rsidRPr="00237F2E">
        <w:rPr>
          <w:sz w:val="20"/>
          <w:szCs w:val="20"/>
        </w:rPr>
        <w:t>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proofErr w:type="gramStart"/>
      <w:r w:rsidRPr="00237F2E">
        <w:rPr>
          <w:sz w:val="20"/>
          <w:szCs w:val="20"/>
        </w:rPr>
        <w:t>kg—</w:t>
      </w:r>
      <w:proofErr w:type="gramEnd"/>
      <w:r w:rsidRPr="00237F2E">
        <w:rPr>
          <w:sz w:val="20"/>
          <w:szCs w:val="20"/>
        </w:rPr>
        <w:t>kilogram</w:t>
      </w:r>
    </w:p>
    <w:p w:rsidR="00237F2E" w:rsidRPr="00237F2E" w:rsidRDefault="00237F2E" w:rsidP="00FE0691">
      <w:pPr>
        <w:spacing w:after="120"/>
        <w:ind w:left="360"/>
        <w:rPr>
          <w:sz w:val="20"/>
          <w:szCs w:val="20"/>
        </w:rPr>
      </w:pPr>
      <w:proofErr w:type="gramStart"/>
      <w:r w:rsidRPr="00237F2E">
        <w:rPr>
          <w:sz w:val="20"/>
          <w:szCs w:val="20"/>
        </w:rPr>
        <w:t>m—</w:t>
      </w:r>
      <w:proofErr w:type="gramEnd"/>
      <w:r w:rsidRPr="00237F2E">
        <w:rPr>
          <w:sz w:val="20"/>
          <w:szCs w:val="20"/>
        </w:rPr>
        <w:t>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proofErr w:type="gramStart"/>
      <w:r w:rsidRPr="00237F2E">
        <w:rPr>
          <w:sz w:val="20"/>
          <w:szCs w:val="20"/>
        </w:rPr>
        <w:t>mg—</w:t>
      </w:r>
      <w:proofErr w:type="gramEnd"/>
      <w:r w:rsidRPr="00237F2E">
        <w:rPr>
          <w:sz w:val="20"/>
          <w:szCs w:val="20"/>
        </w:rPr>
        <w:t>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proofErr w:type="gramStart"/>
      <w:r w:rsidRPr="00237F2E">
        <w:rPr>
          <w:sz w:val="20"/>
          <w:szCs w:val="20"/>
        </w:rPr>
        <w:t>mm—</w:t>
      </w:r>
      <w:proofErr w:type="gramEnd"/>
      <w:r w:rsidRPr="00237F2E">
        <w:rPr>
          <w:sz w:val="20"/>
          <w:szCs w:val="20"/>
        </w:rPr>
        <w:t>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proofErr w:type="gramStart"/>
      <w:r w:rsidRPr="00237F2E">
        <w:rPr>
          <w:sz w:val="20"/>
          <w:szCs w:val="20"/>
        </w:rPr>
        <w:t>mol—</w:t>
      </w:r>
      <w:proofErr w:type="gramEnd"/>
      <w:r w:rsidRPr="00237F2E">
        <w:rPr>
          <w:sz w:val="20"/>
          <w:szCs w:val="20"/>
        </w:rPr>
        <w:t>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proofErr w:type="gramStart"/>
      <w:r w:rsidRPr="00237F2E">
        <w:rPr>
          <w:sz w:val="20"/>
          <w:szCs w:val="20"/>
        </w:rPr>
        <w:t>ng—</w:t>
      </w:r>
      <w:proofErr w:type="gramEnd"/>
      <w:r w:rsidRPr="00237F2E">
        <w:rPr>
          <w:sz w:val="20"/>
          <w:szCs w:val="20"/>
        </w:rPr>
        <w:t>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proofErr w:type="gramStart"/>
      <w:r w:rsidRPr="00237F2E">
        <w:rPr>
          <w:sz w:val="20"/>
          <w:szCs w:val="20"/>
        </w:rPr>
        <w:t>nm—</w:t>
      </w:r>
      <w:proofErr w:type="gramEnd"/>
      <w:r w:rsidRPr="00237F2E">
        <w:rPr>
          <w:sz w:val="20"/>
          <w:szCs w:val="20"/>
        </w:rPr>
        <w:t>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proofErr w:type="gramStart"/>
      <w:r w:rsidRPr="00237F2E">
        <w:rPr>
          <w:sz w:val="20"/>
          <w:szCs w:val="20"/>
        </w:rPr>
        <w:t>s—</w:t>
      </w:r>
      <w:proofErr w:type="gramEnd"/>
      <w:r w:rsidRPr="00237F2E">
        <w:rPr>
          <w:sz w:val="20"/>
          <w:szCs w:val="20"/>
        </w:rPr>
        <w:t>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proofErr w:type="gramStart"/>
      <w:r w:rsidRPr="00237F2E">
        <w:rPr>
          <w:sz w:val="20"/>
          <w:szCs w:val="20"/>
        </w:rPr>
        <w:t>cal—</w:t>
      </w:r>
      <w:proofErr w:type="gramEnd"/>
      <w:r w:rsidRPr="00237F2E">
        <w:rPr>
          <w:sz w:val="20"/>
          <w:szCs w:val="20"/>
        </w:rPr>
        <w:t>calorie</w:t>
      </w:r>
    </w:p>
    <w:p w:rsidR="00237F2E" w:rsidRPr="00237F2E" w:rsidRDefault="00237F2E" w:rsidP="00FE0691">
      <w:pPr>
        <w:spacing w:after="120"/>
        <w:ind w:left="360"/>
        <w:rPr>
          <w:sz w:val="20"/>
          <w:szCs w:val="20"/>
        </w:rPr>
      </w:pPr>
      <w:proofErr w:type="gramStart"/>
      <w:r w:rsidRPr="00237F2E">
        <w:rPr>
          <w:sz w:val="20"/>
          <w:szCs w:val="20"/>
        </w:rPr>
        <w:t>cfm—</w:t>
      </w:r>
      <w:proofErr w:type="gramEnd"/>
      <w:r w:rsidRPr="00237F2E">
        <w:rPr>
          <w:sz w:val="20"/>
          <w:szCs w:val="20"/>
        </w:rPr>
        <w:t>cubic feet per minute</w:t>
      </w:r>
    </w:p>
    <w:p w:rsidR="00237F2E" w:rsidRPr="00237F2E" w:rsidRDefault="00237F2E" w:rsidP="00FE0691">
      <w:pPr>
        <w:spacing w:after="120"/>
        <w:ind w:left="360"/>
        <w:rPr>
          <w:sz w:val="20"/>
          <w:szCs w:val="20"/>
        </w:rPr>
      </w:pPr>
      <w:proofErr w:type="gramStart"/>
      <w:r w:rsidRPr="00237F2E">
        <w:rPr>
          <w:sz w:val="20"/>
          <w:szCs w:val="20"/>
        </w:rPr>
        <w:t>cu</w:t>
      </w:r>
      <w:proofErr w:type="gramEnd"/>
      <w:r w:rsidRPr="00237F2E">
        <w:rPr>
          <w:sz w:val="20"/>
          <w:szCs w:val="20"/>
        </w:rPr>
        <w:t xml:space="preserve"> ft—cubic feet</w:t>
      </w:r>
    </w:p>
    <w:p w:rsidR="00237F2E" w:rsidRPr="00237F2E" w:rsidRDefault="00237F2E" w:rsidP="00FE0691">
      <w:pPr>
        <w:spacing w:after="120"/>
        <w:ind w:left="360"/>
        <w:rPr>
          <w:sz w:val="20"/>
          <w:szCs w:val="20"/>
        </w:rPr>
      </w:pPr>
      <w:proofErr w:type="gramStart"/>
      <w:r w:rsidRPr="00237F2E">
        <w:rPr>
          <w:sz w:val="20"/>
          <w:szCs w:val="20"/>
        </w:rPr>
        <w:t>dcf—</w:t>
      </w:r>
      <w:proofErr w:type="gramEnd"/>
      <w:r w:rsidRPr="00237F2E">
        <w:rPr>
          <w:sz w:val="20"/>
          <w:szCs w:val="20"/>
        </w:rPr>
        <w:t>dry cubic feet</w:t>
      </w:r>
    </w:p>
    <w:p w:rsidR="00237F2E" w:rsidRPr="00237F2E" w:rsidRDefault="00237F2E" w:rsidP="00FE0691">
      <w:pPr>
        <w:spacing w:after="120"/>
        <w:ind w:left="360"/>
        <w:rPr>
          <w:sz w:val="20"/>
          <w:szCs w:val="20"/>
        </w:rPr>
      </w:pPr>
      <w:proofErr w:type="gramStart"/>
      <w:r w:rsidRPr="00237F2E">
        <w:rPr>
          <w:sz w:val="20"/>
          <w:szCs w:val="20"/>
        </w:rPr>
        <w:t>dcm—</w:t>
      </w:r>
      <w:proofErr w:type="gramEnd"/>
      <w:r w:rsidRPr="00237F2E">
        <w:rPr>
          <w:sz w:val="20"/>
          <w:szCs w:val="20"/>
        </w:rPr>
        <w:t>dry cubic meter</w:t>
      </w:r>
    </w:p>
    <w:p w:rsidR="00237F2E" w:rsidRPr="00237F2E" w:rsidRDefault="00237F2E" w:rsidP="00FE0691">
      <w:pPr>
        <w:spacing w:after="120"/>
        <w:ind w:left="360"/>
        <w:rPr>
          <w:sz w:val="20"/>
          <w:szCs w:val="20"/>
        </w:rPr>
      </w:pPr>
      <w:proofErr w:type="gramStart"/>
      <w:r w:rsidRPr="00237F2E">
        <w:rPr>
          <w:sz w:val="20"/>
          <w:szCs w:val="20"/>
        </w:rPr>
        <w:t>dscf—</w:t>
      </w:r>
      <w:proofErr w:type="gramEnd"/>
      <w:r w:rsidRPr="00237F2E">
        <w:rPr>
          <w:sz w:val="20"/>
          <w:szCs w:val="20"/>
        </w:rPr>
        <w:t>dry cubic feet at standard conditions</w:t>
      </w:r>
    </w:p>
    <w:p w:rsidR="00237F2E" w:rsidRPr="00237F2E" w:rsidRDefault="00237F2E" w:rsidP="00FE0691">
      <w:pPr>
        <w:spacing w:after="120"/>
        <w:ind w:left="360"/>
        <w:rPr>
          <w:sz w:val="20"/>
          <w:szCs w:val="20"/>
        </w:rPr>
      </w:pPr>
      <w:proofErr w:type="gramStart"/>
      <w:r w:rsidRPr="00237F2E">
        <w:rPr>
          <w:sz w:val="20"/>
          <w:szCs w:val="20"/>
        </w:rPr>
        <w:t>dscm—</w:t>
      </w:r>
      <w:proofErr w:type="gramEnd"/>
      <w:r w:rsidRPr="00237F2E">
        <w:rPr>
          <w:sz w:val="20"/>
          <w:szCs w:val="20"/>
        </w:rPr>
        <w:t>dry cubic meter at standard conditions</w:t>
      </w:r>
    </w:p>
    <w:p w:rsidR="00237F2E" w:rsidRPr="00237F2E" w:rsidRDefault="00237F2E" w:rsidP="00FE0691">
      <w:pPr>
        <w:spacing w:after="120"/>
        <w:ind w:left="360"/>
        <w:rPr>
          <w:sz w:val="20"/>
          <w:szCs w:val="20"/>
        </w:rPr>
      </w:pPr>
      <w:proofErr w:type="gramStart"/>
      <w:r w:rsidRPr="00237F2E">
        <w:rPr>
          <w:sz w:val="20"/>
          <w:szCs w:val="20"/>
        </w:rPr>
        <w:lastRenderedPageBreak/>
        <w:t>eq—</w:t>
      </w:r>
      <w:proofErr w:type="gramEnd"/>
      <w:r w:rsidRPr="00237F2E">
        <w:rPr>
          <w:sz w:val="20"/>
          <w:szCs w:val="20"/>
        </w:rPr>
        <w:t>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proofErr w:type="gramStart"/>
      <w:r w:rsidRPr="00237F2E">
        <w:rPr>
          <w:sz w:val="20"/>
          <w:szCs w:val="20"/>
        </w:rPr>
        <w:t>ft—</w:t>
      </w:r>
      <w:proofErr w:type="gramEnd"/>
      <w:r w:rsidRPr="00237F2E">
        <w:rPr>
          <w:sz w:val="20"/>
          <w:szCs w:val="20"/>
        </w:rPr>
        <w:t>feet</w:t>
      </w:r>
    </w:p>
    <w:p w:rsidR="00237F2E" w:rsidRPr="00237F2E" w:rsidRDefault="00237F2E" w:rsidP="00FE0691">
      <w:pPr>
        <w:spacing w:after="120"/>
        <w:ind w:left="360"/>
        <w:rPr>
          <w:sz w:val="20"/>
          <w:szCs w:val="20"/>
        </w:rPr>
      </w:pPr>
      <w:proofErr w:type="gramStart"/>
      <w:r w:rsidRPr="00237F2E">
        <w:rPr>
          <w:sz w:val="20"/>
          <w:szCs w:val="20"/>
        </w:rPr>
        <w:t>gal—</w:t>
      </w:r>
      <w:proofErr w:type="gramEnd"/>
      <w:r w:rsidRPr="00237F2E">
        <w:rPr>
          <w:sz w:val="20"/>
          <w:szCs w:val="20"/>
        </w:rPr>
        <w:t>gallon</w:t>
      </w:r>
    </w:p>
    <w:p w:rsidR="00237F2E" w:rsidRPr="00237F2E" w:rsidRDefault="00237F2E" w:rsidP="00FE0691">
      <w:pPr>
        <w:spacing w:after="120"/>
        <w:ind w:left="360"/>
        <w:rPr>
          <w:sz w:val="20"/>
          <w:szCs w:val="20"/>
        </w:rPr>
      </w:pPr>
      <w:proofErr w:type="gramStart"/>
      <w:r w:rsidRPr="00237F2E">
        <w:rPr>
          <w:sz w:val="20"/>
          <w:szCs w:val="20"/>
        </w:rPr>
        <w:t>gr—</w:t>
      </w:r>
      <w:proofErr w:type="gramEnd"/>
      <w:r w:rsidRPr="00237F2E">
        <w:rPr>
          <w:sz w:val="20"/>
          <w:szCs w:val="20"/>
        </w:rPr>
        <w:t>grain</w:t>
      </w:r>
    </w:p>
    <w:p w:rsidR="00237F2E" w:rsidRPr="00237F2E" w:rsidRDefault="00237F2E" w:rsidP="00FE0691">
      <w:pPr>
        <w:spacing w:after="120"/>
        <w:ind w:left="360"/>
        <w:rPr>
          <w:sz w:val="20"/>
          <w:szCs w:val="20"/>
        </w:rPr>
      </w:pPr>
      <w:proofErr w:type="gramStart"/>
      <w:r w:rsidRPr="00237F2E">
        <w:rPr>
          <w:sz w:val="20"/>
          <w:szCs w:val="20"/>
        </w:rPr>
        <w:t>g-eq—</w:t>
      </w:r>
      <w:proofErr w:type="gramEnd"/>
      <w:r w:rsidRPr="00237F2E">
        <w:rPr>
          <w:sz w:val="20"/>
          <w:szCs w:val="20"/>
        </w:rPr>
        <w:t>gram equivalent</w:t>
      </w:r>
    </w:p>
    <w:p w:rsidR="00237F2E" w:rsidRPr="00237F2E" w:rsidRDefault="00237F2E" w:rsidP="00FE0691">
      <w:pPr>
        <w:spacing w:after="120"/>
        <w:ind w:left="360"/>
        <w:rPr>
          <w:sz w:val="20"/>
          <w:szCs w:val="20"/>
        </w:rPr>
      </w:pPr>
      <w:proofErr w:type="gramStart"/>
      <w:r w:rsidRPr="00237F2E">
        <w:rPr>
          <w:sz w:val="20"/>
          <w:szCs w:val="20"/>
        </w:rPr>
        <w:t>hr—</w:t>
      </w:r>
      <w:proofErr w:type="gramEnd"/>
      <w:r w:rsidRPr="00237F2E">
        <w:rPr>
          <w:sz w:val="20"/>
          <w:szCs w:val="20"/>
        </w:rPr>
        <w:t>hour</w:t>
      </w:r>
    </w:p>
    <w:p w:rsidR="00237F2E" w:rsidRPr="00237F2E" w:rsidRDefault="00237F2E" w:rsidP="00FE0691">
      <w:pPr>
        <w:spacing w:after="120"/>
        <w:ind w:left="360"/>
        <w:rPr>
          <w:sz w:val="20"/>
          <w:szCs w:val="20"/>
        </w:rPr>
      </w:pPr>
      <w:proofErr w:type="gramStart"/>
      <w:r w:rsidRPr="00237F2E">
        <w:rPr>
          <w:sz w:val="20"/>
          <w:szCs w:val="20"/>
        </w:rPr>
        <w:t>in—</w:t>
      </w:r>
      <w:proofErr w:type="gramEnd"/>
      <w:r w:rsidRPr="00237F2E">
        <w:rPr>
          <w:sz w:val="20"/>
          <w:szCs w:val="20"/>
        </w:rPr>
        <w:t>inch</w:t>
      </w:r>
    </w:p>
    <w:p w:rsidR="00237F2E" w:rsidRPr="00237F2E" w:rsidRDefault="00237F2E" w:rsidP="00FE0691">
      <w:pPr>
        <w:spacing w:after="120"/>
        <w:ind w:left="360"/>
        <w:rPr>
          <w:sz w:val="20"/>
          <w:szCs w:val="20"/>
        </w:rPr>
      </w:pPr>
      <w:proofErr w:type="gramStart"/>
      <w:r w:rsidRPr="00237F2E">
        <w:rPr>
          <w:sz w:val="20"/>
          <w:szCs w:val="20"/>
        </w:rPr>
        <w:t>k—</w:t>
      </w:r>
      <w:proofErr w:type="gramEnd"/>
      <w:r w:rsidRPr="00237F2E">
        <w:rPr>
          <w:sz w:val="20"/>
          <w:szCs w:val="20"/>
        </w:rPr>
        <w:t>1,000</w:t>
      </w:r>
    </w:p>
    <w:p w:rsidR="00237F2E" w:rsidRPr="00237F2E" w:rsidRDefault="00237F2E" w:rsidP="00FE0691">
      <w:pPr>
        <w:spacing w:after="120"/>
        <w:ind w:left="360"/>
        <w:rPr>
          <w:sz w:val="20"/>
          <w:szCs w:val="20"/>
        </w:rPr>
      </w:pPr>
      <w:proofErr w:type="gramStart"/>
      <w:r w:rsidRPr="00237F2E">
        <w:rPr>
          <w:sz w:val="20"/>
          <w:szCs w:val="20"/>
        </w:rPr>
        <w:t>l—</w:t>
      </w:r>
      <w:proofErr w:type="gramEnd"/>
      <w:r w:rsidRPr="00237F2E">
        <w:rPr>
          <w:sz w:val="20"/>
          <w:szCs w:val="20"/>
        </w:rPr>
        <w:t>liter</w:t>
      </w:r>
    </w:p>
    <w:p w:rsidR="00237F2E" w:rsidRPr="00237F2E" w:rsidRDefault="00237F2E" w:rsidP="00FE0691">
      <w:pPr>
        <w:spacing w:after="120"/>
        <w:ind w:left="360"/>
        <w:rPr>
          <w:sz w:val="20"/>
          <w:szCs w:val="20"/>
        </w:rPr>
      </w:pPr>
      <w:proofErr w:type="gramStart"/>
      <w:r w:rsidRPr="00237F2E">
        <w:rPr>
          <w:sz w:val="20"/>
          <w:szCs w:val="20"/>
        </w:rPr>
        <w:t>lpm—</w:t>
      </w:r>
      <w:proofErr w:type="gramEnd"/>
      <w:r w:rsidRPr="00237F2E">
        <w:rPr>
          <w:sz w:val="20"/>
          <w:szCs w:val="20"/>
        </w:rPr>
        <w:t>liter per minute</w:t>
      </w:r>
    </w:p>
    <w:p w:rsidR="00237F2E" w:rsidRPr="00237F2E" w:rsidRDefault="00237F2E" w:rsidP="00FE0691">
      <w:pPr>
        <w:spacing w:after="120"/>
        <w:ind w:left="360"/>
        <w:rPr>
          <w:sz w:val="20"/>
          <w:szCs w:val="20"/>
        </w:rPr>
      </w:pPr>
      <w:proofErr w:type="gramStart"/>
      <w:r w:rsidRPr="00237F2E">
        <w:rPr>
          <w:sz w:val="20"/>
          <w:szCs w:val="20"/>
        </w:rPr>
        <w:t>lb—</w:t>
      </w:r>
      <w:proofErr w:type="gramEnd"/>
      <w:r w:rsidRPr="00237F2E">
        <w:rPr>
          <w:sz w:val="20"/>
          <w:szCs w:val="20"/>
        </w:rPr>
        <w:t>pound</w:t>
      </w:r>
    </w:p>
    <w:p w:rsidR="00237F2E" w:rsidRPr="00237F2E" w:rsidRDefault="00237F2E" w:rsidP="00FE0691">
      <w:pPr>
        <w:spacing w:after="120"/>
        <w:ind w:left="360"/>
        <w:rPr>
          <w:sz w:val="20"/>
          <w:szCs w:val="20"/>
        </w:rPr>
      </w:pPr>
      <w:proofErr w:type="gramStart"/>
      <w:r w:rsidRPr="00237F2E">
        <w:rPr>
          <w:sz w:val="20"/>
          <w:szCs w:val="20"/>
        </w:rPr>
        <w:t>meq—</w:t>
      </w:r>
      <w:proofErr w:type="gramEnd"/>
      <w:r w:rsidRPr="00237F2E">
        <w:rPr>
          <w:sz w:val="20"/>
          <w:szCs w:val="20"/>
        </w:rPr>
        <w:t>milliequivalent</w:t>
      </w:r>
    </w:p>
    <w:p w:rsidR="00237F2E" w:rsidRPr="00237F2E" w:rsidRDefault="00237F2E" w:rsidP="00FE0691">
      <w:pPr>
        <w:spacing w:after="120"/>
        <w:ind w:left="360"/>
        <w:rPr>
          <w:sz w:val="20"/>
          <w:szCs w:val="20"/>
        </w:rPr>
      </w:pPr>
      <w:proofErr w:type="gramStart"/>
      <w:r w:rsidRPr="00237F2E">
        <w:rPr>
          <w:sz w:val="20"/>
          <w:szCs w:val="20"/>
        </w:rPr>
        <w:t>min—</w:t>
      </w:r>
      <w:proofErr w:type="gramEnd"/>
      <w:r w:rsidRPr="00237F2E">
        <w:rPr>
          <w:sz w:val="20"/>
          <w:szCs w:val="20"/>
        </w:rPr>
        <w:t>minute</w:t>
      </w:r>
    </w:p>
    <w:p w:rsidR="00237F2E" w:rsidRPr="00237F2E" w:rsidRDefault="00237F2E" w:rsidP="00FE0691">
      <w:pPr>
        <w:spacing w:after="120"/>
        <w:ind w:left="360"/>
        <w:rPr>
          <w:sz w:val="20"/>
          <w:szCs w:val="20"/>
        </w:rPr>
      </w:pPr>
      <w:proofErr w:type="gramStart"/>
      <w:r w:rsidRPr="00237F2E">
        <w:rPr>
          <w:sz w:val="20"/>
          <w:szCs w:val="20"/>
        </w:rPr>
        <w:t>ml—</w:t>
      </w:r>
      <w:proofErr w:type="gramEnd"/>
      <w:r w:rsidRPr="00237F2E">
        <w:rPr>
          <w:sz w:val="20"/>
          <w:szCs w:val="20"/>
        </w:rPr>
        <w:t>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proofErr w:type="gramStart"/>
      <w:r w:rsidRPr="00237F2E">
        <w:rPr>
          <w:sz w:val="20"/>
          <w:szCs w:val="20"/>
        </w:rPr>
        <w:t>ppb—</w:t>
      </w:r>
      <w:proofErr w:type="gramEnd"/>
      <w:r w:rsidRPr="00237F2E">
        <w:rPr>
          <w:sz w:val="20"/>
          <w:szCs w:val="20"/>
        </w:rPr>
        <w:t>parts per billion</w:t>
      </w:r>
    </w:p>
    <w:p w:rsidR="00237F2E" w:rsidRPr="00237F2E" w:rsidRDefault="00237F2E" w:rsidP="00FE0691">
      <w:pPr>
        <w:spacing w:after="120"/>
        <w:ind w:left="360"/>
        <w:rPr>
          <w:sz w:val="20"/>
          <w:szCs w:val="20"/>
        </w:rPr>
      </w:pPr>
      <w:proofErr w:type="gramStart"/>
      <w:r w:rsidRPr="00237F2E">
        <w:rPr>
          <w:sz w:val="20"/>
          <w:szCs w:val="20"/>
        </w:rPr>
        <w:t>ppm—</w:t>
      </w:r>
      <w:proofErr w:type="gramEnd"/>
      <w:r w:rsidRPr="00237F2E">
        <w:rPr>
          <w:sz w:val="20"/>
          <w:szCs w:val="20"/>
        </w:rPr>
        <w:t>parts per million</w:t>
      </w:r>
    </w:p>
    <w:p w:rsidR="00237F2E" w:rsidRPr="00237F2E" w:rsidRDefault="00237F2E" w:rsidP="00FE0691">
      <w:pPr>
        <w:spacing w:after="120"/>
        <w:ind w:left="360"/>
        <w:rPr>
          <w:sz w:val="20"/>
          <w:szCs w:val="20"/>
        </w:rPr>
      </w:pPr>
      <w:proofErr w:type="gramStart"/>
      <w:r w:rsidRPr="00237F2E">
        <w:rPr>
          <w:sz w:val="20"/>
          <w:szCs w:val="20"/>
        </w:rPr>
        <w:t>psia—</w:t>
      </w:r>
      <w:proofErr w:type="gramEnd"/>
      <w:r w:rsidRPr="00237F2E">
        <w:rPr>
          <w:sz w:val="20"/>
          <w:szCs w:val="20"/>
        </w:rPr>
        <w:t>pounds per square inch absolute</w:t>
      </w:r>
    </w:p>
    <w:p w:rsidR="00237F2E" w:rsidRPr="00237F2E" w:rsidRDefault="00237F2E" w:rsidP="00FE0691">
      <w:pPr>
        <w:spacing w:after="120"/>
        <w:ind w:left="360"/>
        <w:rPr>
          <w:sz w:val="20"/>
          <w:szCs w:val="20"/>
        </w:rPr>
      </w:pPr>
      <w:proofErr w:type="gramStart"/>
      <w:r w:rsidRPr="00237F2E">
        <w:rPr>
          <w:sz w:val="20"/>
          <w:szCs w:val="20"/>
        </w:rPr>
        <w:t>psig—</w:t>
      </w:r>
      <w:proofErr w:type="gramEnd"/>
      <w:r w:rsidRPr="00237F2E">
        <w:rPr>
          <w:sz w:val="20"/>
          <w:szCs w:val="20"/>
        </w:rPr>
        <w:t>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proofErr w:type="gramStart"/>
      <w:r w:rsidRPr="00237F2E">
        <w:rPr>
          <w:sz w:val="20"/>
          <w:szCs w:val="20"/>
        </w:rPr>
        <w:t>scf—</w:t>
      </w:r>
      <w:proofErr w:type="gramEnd"/>
      <w:r w:rsidRPr="00237F2E">
        <w:rPr>
          <w:sz w:val="20"/>
          <w:szCs w:val="20"/>
        </w:rPr>
        <w:t>cubic feet at standard conditions</w:t>
      </w:r>
    </w:p>
    <w:p w:rsidR="00237F2E" w:rsidRPr="00237F2E" w:rsidRDefault="00237F2E" w:rsidP="00FE0691">
      <w:pPr>
        <w:spacing w:after="120"/>
        <w:ind w:left="360"/>
        <w:rPr>
          <w:sz w:val="20"/>
          <w:szCs w:val="20"/>
        </w:rPr>
      </w:pPr>
      <w:proofErr w:type="gramStart"/>
      <w:r w:rsidRPr="00237F2E">
        <w:rPr>
          <w:sz w:val="20"/>
          <w:szCs w:val="20"/>
        </w:rPr>
        <w:t>scfh—</w:t>
      </w:r>
      <w:proofErr w:type="gramEnd"/>
      <w:r w:rsidRPr="00237F2E">
        <w:rPr>
          <w:sz w:val="20"/>
          <w:szCs w:val="20"/>
        </w:rPr>
        <w:t>cubic feet per hour at standard conditions</w:t>
      </w:r>
    </w:p>
    <w:p w:rsidR="00237F2E" w:rsidRPr="00237F2E" w:rsidRDefault="00237F2E" w:rsidP="00FE0691">
      <w:pPr>
        <w:spacing w:after="120"/>
        <w:ind w:left="360"/>
        <w:rPr>
          <w:sz w:val="20"/>
          <w:szCs w:val="20"/>
        </w:rPr>
      </w:pPr>
      <w:proofErr w:type="gramStart"/>
      <w:r w:rsidRPr="00237F2E">
        <w:rPr>
          <w:sz w:val="20"/>
          <w:szCs w:val="20"/>
        </w:rPr>
        <w:t>scm—</w:t>
      </w:r>
      <w:proofErr w:type="gramEnd"/>
      <w:r w:rsidRPr="00237F2E">
        <w:rPr>
          <w:sz w:val="20"/>
          <w:szCs w:val="20"/>
        </w:rPr>
        <w:t>cubic meter at standard conditions</w:t>
      </w:r>
    </w:p>
    <w:p w:rsidR="00237F2E" w:rsidRPr="00237F2E" w:rsidRDefault="00237F2E" w:rsidP="00FE0691">
      <w:pPr>
        <w:spacing w:after="120"/>
        <w:ind w:left="360"/>
        <w:rPr>
          <w:sz w:val="20"/>
          <w:szCs w:val="20"/>
        </w:rPr>
      </w:pPr>
      <w:proofErr w:type="gramStart"/>
      <w:r w:rsidRPr="00237F2E">
        <w:rPr>
          <w:sz w:val="20"/>
          <w:szCs w:val="20"/>
        </w:rPr>
        <w:t>sec—</w:t>
      </w:r>
      <w:proofErr w:type="gramEnd"/>
      <w:r w:rsidRPr="00237F2E">
        <w:rPr>
          <w:sz w:val="20"/>
          <w:szCs w:val="20"/>
        </w:rPr>
        <w:t>second</w:t>
      </w:r>
    </w:p>
    <w:p w:rsidR="00237F2E" w:rsidRPr="00237F2E" w:rsidRDefault="00237F2E" w:rsidP="00FE0691">
      <w:pPr>
        <w:spacing w:after="120"/>
        <w:ind w:left="360"/>
        <w:rPr>
          <w:sz w:val="20"/>
          <w:szCs w:val="20"/>
        </w:rPr>
      </w:pPr>
      <w:proofErr w:type="gramStart"/>
      <w:r w:rsidRPr="00237F2E">
        <w:rPr>
          <w:sz w:val="20"/>
          <w:szCs w:val="20"/>
        </w:rPr>
        <w:t>sq</w:t>
      </w:r>
      <w:proofErr w:type="gramEnd"/>
      <w:r w:rsidRPr="00237F2E">
        <w:rPr>
          <w:sz w:val="20"/>
          <w:szCs w:val="20"/>
        </w:rPr>
        <w:t xml:space="preserve"> ft—square feet</w:t>
      </w:r>
    </w:p>
    <w:p w:rsidR="00237F2E" w:rsidRPr="00237F2E" w:rsidRDefault="00237F2E" w:rsidP="00FE0691">
      <w:pPr>
        <w:spacing w:after="120"/>
        <w:ind w:left="360"/>
        <w:rPr>
          <w:sz w:val="20"/>
          <w:szCs w:val="20"/>
        </w:rPr>
      </w:pPr>
      <w:proofErr w:type="gramStart"/>
      <w:r w:rsidRPr="00237F2E">
        <w:rPr>
          <w:sz w:val="20"/>
          <w:szCs w:val="20"/>
        </w:rPr>
        <w:t>std—</w:t>
      </w:r>
      <w:proofErr w:type="gramEnd"/>
      <w:r w:rsidRPr="00237F2E">
        <w:rPr>
          <w:sz w:val="20"/>
          <w:szCs w:val="20"/>
        </w:rPr>
        <w:t>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lastRenderedPageBreak/>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E67013"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lastRenderedPageBreak/>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w:t>
      </w:r>
      <w:proofErr w:type="gramStart"/>
      <w:r w:rsidR="00237F2E" w:rsidRPr="00237F2E">
        <w:rPr>
          <w:sz w:val="20"/>
          <w:szCs w:val="20"/>
        </w:rPr>
        <w:t>)(</w:t>
      </w:r>
      <w:proofErr w:type="gramEnd"/>
      <w:r w:rsidR="00237F2E" w:rsidRPr="00237F2E">
        <w:rPr>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lastRenderedPageBreak/>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5"/>
        <w:gridCol w:w="376"/>
        <w:gridCol w:w="4257"/>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lastRenderedPageBreak/>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w:t>
      </w:r>
      <w:proofErr w:type="gramStart"/>
      <w:r w:rsidR="00237F2E" w:rsidRPr="00237F2E">
        <w:rPr>
          <w:sz w:val="20"/>
          <w:szCs w:val="20"/>
        </w:rPr>
        <w:t>)(</w:t>
      </w:r>
      <w:proofErr w:type="gramEnd"/>
      <w:r w:rsidR="00237F2E" w:rsidRPr="00237F2E">
        <w:rPr>
          <w:sz w:val="20"/>
          <w:szCs w:val="20"/>
        </w:rPr>
        <w:t>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 xml:space="preserve">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w:t>
      </w:r>
      <w:r w:rsidR="00237F2E" w:rsidRPr="00237F2E">
        <w:rPr>
          <w:sz w:val="20"/>
          <w:szCs w:val="20"/>
        </w:rPr>
        <w:lastRenderedPageBreak/>
        <w:t>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lastRenderedPageBreak/>
        <w:t>(4)</w:t>
      </w:r>
      <w:r w:rsidR="008A0F72">
        <w:rPr>
          <w:sz w:val="20"/>
          <w:szCs w:val="20"/>
        </w:rPr>
        <w:tab/>
      </w:r>
      <w:r w:rsidRPr="00237F2E">
        <w:rPr>
          <w:sz w:val="20"/>
          <w:szCs w:val="20"/>
        </w:rPr>
        <w:t>Until an extension of the performance test deadline has been approved by the Administrator under paragraphs (a</w:t>
      </w:r>
      <w:proofErr w:type="gramStart"/>
      <w:r w:rsidRPr="00237F2E">
        <w:rPr>
          <w:sz w:val="20"/>
          <w:szCs w:val="20"/>
        </w:rPr>
        <w:t>)(</w:t>
      </w:r>
      <w:proofErr w:type="gramEnd"/>
      <w:r w:rsidRPr="00237F2E">
        <w:rPr>
          <w:sz w:val="20"/>
          <w:szCs w:val="20"/>
        </w:rPr>
        <w:t>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1F685B" w:rsidRPr="00C9465F" w:rsidRDefault="001F685B" w:rsidP="001F685B">
      <w:pPr>
        <w:pStyle w:val="NormalWeb"/>
        <w:ind w:left="360" w:hanging="360"/>
        <w:rPr>
          <w:sz w:val="20"/>
          <w:szCs w:val="20"/>
        </w:rPr>
      </w:pPr>
      <w:r>
        <w:rPr>
          <w:sz w:val="20"/>
          <w:szCs w:val="20"/>
        </w:rPr>
        <w:t>(g)</w:t>
      </w:r>
      <w:r>
        <w:rPr>
          <w:sz w:val="20"/>
          <w:szCs w:val="20"/>
        </w:rPr>
        <w:tab/>
      </w:r>
      <w:r w:rsidRPr="00C9465F">
        <w:rPr>
          <w:sz w:val="20"/>
          <w:szCs w:val="20"/>
        </w:rPr>
        <w:t xml:space="preserve">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w:t>
      </w:r>
      <w:r w:rsidRPr="00C9465F">
        <w:rPr>
          <w:sz w:val="20"/>
          <w:szCs w:val="20"/>
        </w:rPr>
        <w:lastRenderedPageBreak/>
        <w:t>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1F685B" w:rsidRPr="00C9465F" w:rsidRDefault="001F685B" w:rsidP="001F685B">
      <w:pPr>
        <w:pStyle w:val="NormalWeb"/>
        <w:ind w:left="720" w:hanging="360"/>
        <w:rPr>
          <w:sz w:val="20"/>
          <w:szCs w:val="20"/>
        </w:rPr>
      </w:pPr>
      <w:r>
        <w:rPr>
          <w:sz w:val="20"/>
          <w:szCs w:val="20"/>
        </w:rPr>
        <w:t>(1)</w:t>
      </w:r>
      <w:r>
        <w:rPr>
          <w:sz w:val="20"/>
          <w:szCs w:val="20"/>
        </w:rPr>
        <w:tab/>
      </w:r>
      <w:r w:rsidRPr="00C9465F">
        <w:rPr>
          <w:sz w:val="20"/>
          <w:szCs w:val="20"/>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9465F">
        <w:rPr>
          <w:i/>
          <w:iCs/>
          <w:sz w:val="20"/>
          <w:szCs w:val="20"/>
        </w:rPr>
        <w:t>http://www.epa.gov/ttn/emc,</w:t>
      </w:r>
      <w:r w:rsidRPr="00C9465F">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F685B" w:rsidRPr="00C9465F" w:rsidRDefault="001F685B" w:rsidP="001F685B">
      <w:pPr>
        <w:pStyle w:val="NormalWeb"/>
        <w:ind w:left="720" w:hanging="360"/>
        <w:rPr>
          <w:sz w:val="20"/>
          <w:szCs w:val="20"/>
        </w:rPr>
      </w:pPr>
      <w:r>
        <w:rPr>
          <w:sz w:val="20"/>
          <w:szCs w:val="20"/>
        </w:rPr>
        <w:t>(2)</w:t>
      </w:r>
      <w:r>
        <w:rPr>
          <w:sz w:val="20"/>
          <w:szCs w:val="20"/>
        </w:rPr>
        <w:tab/>
      </w:r>
      <w:r w:rsidRPr="00C9465F">
        <w:rPr>
          <w:sz w:val="20"/>
          <w:szCs w:val="20"/>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F685B" w:rsidRPr="00C9465F" w:rsidRDefault="001F685B" w:rsidP="001F685B">
      <w:pPr>
        <w:pStyle w:val="NormalWeb"/>
        <w:tabs>
          <w:tab w:val="center" w:pos="5040"/>
        </w:tabs>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C9465F">
        <w:rPr>
          <w:sz w:val="20"/>
          <w:szCs w:val="20"/>
        </w:rPr>
        <w:t>Preparing the sample;</w:t>
      </w:r>
      <w:r>
        <w:rPr>
          <w:sz w:val="20"/>
          <w:szCs w:val="20"/>
        </w:rPr>
        <w:tab/>
      </w:r>
    </w:p>
    <w:p w:rsidR="001F685B" w:rsidRPr="00C9465F" w:rsidRDefault="001F685B" w:rsidP="001F685B">
      <w:pPr>
        <w:pStyle w:val="NormalWeb"/>
        <w:ind w:left="1080" w:hanging="360"/>
        <w:rPr>
          <w:sz w:val="20"/>
          <w:szCs w:val="20"/>
        </w:rPr>
      </w:pPr>
      <w:r>
        <w:rPr>
          <w:sz w:val="20"/>
          <w:szCs w:val="20"/>
        </w:rPr>
        <w:lastRenderedPageBreak/>
        <w:t>(ii)</w:t>
      </w:r>
      <w:r>
        <w:rPr>
          <w:sz w:val="20"/>
          <w:szCs w:val="20"/>
        </w:rPr>
        <w:tab/>
      </w:r>
      <w:r w:rsidRPr="00C9465F">
        <w:rPr>
          <w:sz w:val="20"/>
          <w:szCs w:val="20"/>
        </w:rPr>
        <w:t>Confirming the true concentration of the sample;</w:t>
      </w:r>
    </w:p>
    <w:p w:rsidR="001F685B" w:rsidRPr="00C9465F" w:rsidRDefault="001F685B" w:rsidP="001F685B">
      <w:pPr>
        <w:pStyle w:val="NormalWeb"/>
        <w:ind w:left="1080" w:hanging="360"/>
        <w:rPr>
          <w:sz w:val="20"/>
          <w:szCs w:val="20"/>
        </w:rPr>
      </w:pPr>
      <w:r>
        <w:rPr>
          <w:sz w:val="20"/>
          <w:szCs w:val="20"/>
        </w:rPr>
        <w:t>(iii)</w:t>
      </w:r>
      <w:r>
        <w:rPr>
          <w:sz w:val="20"/>
          <w:szCs w:val="20"/>
        </w:rPr>
        <w:tab/>
      </w:r>
      <w:r w:rsidRPr="00C9465F">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F685B" w:rsidRPr="00C9465F" w:rsidRDefault="001F685B" w:rsidP="001F685B">
      <w:pPr>
        <w:pStyle w:val="NormalWeb"/>
        <w:ind w:left="1080" w:hanging="360"/>
        <w:rPr>
          <w:sz w:val="20"/>
          <w:szCs w:val="20"/>
        </w:rPr>
      </w:pPr>
      <w:proofErr w:type="gramStart"/>
      <w:r>
        <w:rPr>
          <w:sz w:val="20"/>
          <w:szCs w:val="20"/>
        </w:rPr>
        <w:t>(iv)</w:t>
      </w:r>
      <w:r>
        <w:rPr>
          <w:sz w:val="20"/>
          <w:szCs w:val="20"/>
        </w:rPr>
        <w:tab/>
      </w:r>
      <w:r w:rsidRPr="00C9465F">
        <w:rPr>
          <w:sz w:val="20"/>
          <w:szCs w:val="20"/>
        </w:rPr>
        <w:t>Providing</w:t>
      </w:r>
      <w:proofErr w:type="gramEnd"/>
      <w:r w:rsidRPr="00C9465F">
        <w:rPr>
          <w:sz w:val="20"/>
          <w:szCs w:val="20"/>
        </w:rPr>
        <w:t xml:space="preserve"> the opportunity for the compliance authority to comment on the selected concentration level for an audit sample;</w:t>
      </w:r>
    </w:p>
    <w:p w:rsidR="001F685B" w:rsidRPr="00C9465F" w:rsidRDefault="001F685B" w:rsidP="001F685B">
      <w:pPr>
        <w:pStyle w:val="NormalWeb"/>
        <w:ind w:left="1080" w:hanging="360"/>
        <w:rPr>
          <w:sz w:val="20"/>
          <w:szCs w:val="20"/>
        </w:rPr>
      </w:pPr>
      <w:r>
        <w:rPr>
          <w:sz w:val="20"/>
          <w:szCs w:val="20"/>
        </w:rPr>
        <w:t>(v)</w:t>
      </w:r>
      <w:r>
        <w:rPr>
          <w:sz w:val="20"/>
          <w:szCs w:val="20"/>
        </w:rPr>
        <w:tab/>
      </w:r>
      <w:r w:rsidRPr="00C9465F">
        <w:rPr>
          <w:sz w:val="20"/>
          <w:szCs w:val="20"/>
        </w:rPr>
        <w:t>Distributing the sample to the user in a manner that guarantees that the true value of the sample is unknown to the user;</w:t>
      </w:r>
    </w:p>
    <w:p w:rsidR="001F685B" w:rsidRPr="00C9465F" w:rsidRDefault="001F685B" w:rsidP="001F685B">
      <w:pPr>
        <w:pStyle w:val="NormalWeb"/>
        <w:ind w:left="1080" w:hanging="360"/>
        <w:rPr>
          <w:sz w:val="20"/>
          <w:szCs w:val="20"/>
        </w:rPr>
      </w:pPr>
      <w:proofErr w:type="gramStart"/>
      <w:r>
        <w:rPr>
          <w:sz w:val="20"/>
          <w:szCs w:val="20"/>
        </w:rPr>
        <w:t>(vi)</w:t>
      </w:r>
      <w:r>
        <w:rPr>
          <w:sz w:val="20"/>
          <w:szCs w:val="20"/>
        </w:rPr>
        <w:tab/>
      </w:r>
      <w:r w:rsidRPr="00C9465F">
        <w:rPr>
          <w:sz w:val="20"/>
          <w:szCs w:val="20"/>
        </w:rPr>
        <w:t>Recording</w:t>
      </w:r>
      <w:proofErr w:type="gramEnd"/>
      <w:r w:rsidRPr="00C9465F">
        <w:rPr>
          <w:sz w:val="20"/>
          <w:szCs w:val="20"/>
        </w:rPr>
        <w:t xml:space="preserve"> the measured concentration reported by the user and determining if the measured value is within acceptable limits;</w:t>
      </w:r>
    </w:p>
    <w:p w:rsidR="001F685B" w:rsidRPr="00C9465F" w:rsidRDefault="001F685B" w:rsidP="001F685B">
      <w:pPr>
        <w:pStyle w:val="NormalWeb"/>
        <w:ind w:left="1080" w:hanging="360"/>
        <w:rPr>
          <w:sz w:val="20"/>
          <w:szCs w:val="20"/>
        </w:rPr>
      </w:pPr>
      <w:r>
        <w:rPr>
          <w:sz w:val="20"/>
          <w:szCs w:val="20"/>
        </w:rPr>
        <w:t>(vii)</w:t>
      </w:r>
      <w:r>
        <w:rPr>
          <w:sz w:val="20"/>
          <w:szCs w:val="20"/>
        </w:rPr>
        <w:tab/>
      </w:r>
      <w:r w:rsidRPr="00C9465F">
        <w:rPr>
          <w:sz w:val="20"/>
          <w:szCs w:val="20"/>
        </w:rPr>
        <w:t>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F685B" w:rsidRPr="00C9465F" w:rsidRDefault="001F685B" w:rsidP="001F685B">
      <w:pPr>
        <w:pStyle w:val="NormalWeb"/>
        <w:ind w:left="1080" w:hanging="360"/>
        <w:rPr>
          <w:sz w:val="20"/>
          <w:szCs w:val="20"/>
        </w:rPr>
      </w:pPr>
      <w:r w:rsidRPr="00C9465F">
        <w:rPr>
          <w:sz w:val="20"/>
          <w:szCs w:val="20"/>
        </w:rPr>
        <w:t>(viii) Evaluating the acceptance limits of samples at least once every two years to determine in cooperation with the voluntary consensus standard body if they should be changed;</w:t>
      </w:r>
    </w:p>
    <w:p w:rsidR="001F685B" w:rsidRPr="00C9465F" w:rsidRDefault="001F685B" w:rsidP="001F685B">
      <w:pPr>
        <w:pStyle w:val="NormalWeb"/>
        <w:ind w:left="1080" w:hanging="360"/>
        <w:rPr>
          <w:sz w:val="20"/>
          <w:szCs w:val="20"/>
        </w:rPr>
      </w:pPr>
      <w:r>
        <w:rPr>
          <w:sz w:val="20"/>
          <w:szCs w:val="20"/>
        </w:rPr>
        <w:t>(ix)</w:t>
      </w:r>
      <w:r>
        <w:rPr>
          <w:sz w:val="20"/>
          <w:szCs w:val="20"/>
        </w:rPr>
        <w:tab/>
      </w:r>
      <w:r w:rsidRPr="00C9465F">
        <w:rPr>
          <w:sz w:val="20"/>
          <w:szCs w:val="20"/>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1F685B" w:rsidRPr="00C9465F" w:rsidRDefault="001F685B" w:rsidP="001F685B">
      <w:pPr>
        <w:pStyle w:val="NormalWeb"/>
        <w:ind w:left="720" w:hanging="360"/>
        <w:rPr>
          <w:sz w:val="20"/>
          <w:szCs w:val="20"/>
        </w:rPr>
      </w:pPr>
      <w:r>
        <w:rPr>
          <w:sz w:val="20"/>
          <w:szCs w:val="20"/>
        </w:rPr>
        <w:t>(3)</w:t>
      </w:r>
      <w:r>
        <w:rPr>
          <w:sz w:val="20"/>
          <w:szCs w:val="20"/>
        </w:rPr>
        <w:tab/>
      </w:r>
      <w:r w:rsidRPr="00C9465F">
        <w:rPr>
          <w:sz w:val="20"/>
          <w:szCs w:val="20"/>
        </w:rPr>
        <w:t>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F685B" w:rsidRPr="00C9465F" w:rsidRDefault="001F685B" w:rsidP="001F685B">
      <w:pPr>
        <w:pStyle w:val="NormalWeb"/>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C9465F">
        <w:rPr>
          <w:sz w:val="20"/>
          <w:szCs w:val="20"/>
        </w:rPr>
        <w:t>Checking audit samples to confirm their true value as reported by the AASP;</w:t>
      </w:r>
    </w:p>
    <w:p w:rsidR="001F685B" w:rsidRPr="00C9465F" w:rsidRDefault="001F685B" w:rsidP="001F685B">
      <w:pPr>
        <w:pStyle w:val="NormalWeb"/>
        <w:ind w:left="1080" w:hanging="360"/>
        <w:rPr>
          <w:sz w:val="20"/>
          <w:szCs w:val="20"/>
        </w:rPr>
      </w:pPr>
      <w:r>
        <w:rPr>
          <w:sz w:val="20"/>
          <w:szCs w:val="20"/>
        </w:rPr>
        <w:t>(ii)</w:t>
      </w:r>
      <w:r>
        <w:rPr>
          <w:sz w:val="20"/>
          <w:szCs w:val="20"/>
        </w:rPr>
        <w:tab/>
      </w:r>
      <w:r w:rsidRPr="00C9465F">
        <w:rPr>
          <w:sz w:val="20"/>
          <w:szCs w:val="20"/>
        </w:rPr>
        <w:t>Performing technical systems audits of the AASP's facilities and operating procedures at least once every two years;</w:t>
      </w:r>
    </w:p>
    <w:p w:rsidR="001F685B" w:rsidRPr="00C9465F" w:rsidRDefault="001F685B" w:rsidP="001F685B">
      <w:pPr>
        <w:pStyle w:val="NormalWeb"/>
        <w:ind w:left="1080" w:hanging="360"/>
        <w:rPr>
          <w:sz w:val="20"/>
          <w:szCs w:val="20"/>
        </w:rPr>
      </w:pPr>
      <w:r>
        <w:rPr>
          <w:sz w:val="20"/>
          <w:szCs w:val="20"/>
        </w:rPr>
        <w:t>(iii)</w:t>
      </w:r>
      <w:r>
        <w:rPr>
          <w:sz w:val="20"/>
          <w:szCs w:val="20"/>
        </w:rPr>
        <w:tab/>
      </w:r>
      <w:r w:rsidRPr="00C9465F">
        <w:rPr>
          <w:sz w:val="20"/>
          <w:szCs w:val="20"/>
        </w:rPr>
        <w:t>Providing standards for use by the voluntary consensus standard body to approve the accrediting body that will accredit the audit sample providers.</w:t>
      </w:r>
    </w:p>
    <w:p w:rsidR="001F685B" w:rsidRPr="00C9465F" w:rsidRDefault="001F685B" w:rsidP="001F685B">
      <w:pPr>
        <w:pStyle w:val="NormalWeb"/>
        <w:ind w:left="720" w:hanging="360"/>
        <w:rPr>
          <w:sz w:val="20"/>
          <w:szCs w:val="20"/>
        </w:rPr>
      </w:pPr>
      <w:r>
        <w:rPr>
          <w:sz w:val="20"/>
          <w:szCs w:val="20"/>
        </w:rPr>
        <w:t>(4)</w:t>
      </w:r>
      <w:r>
        <w:rPr>
          <w:sz w:val="20"/>
          <w:szCs w:val="20"/>
        </w:rPr>
        <w:tab/>
      </w:r>
      <w:r w:rsidRPr="00C9465F">
        <w:rPr>
          <w:sz w:val="20"/>
          <w:szCs w:val="20"/>
        </w:rPr>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w:t>
      </w:r>
      <w:r w:rsidRPr="00C9465F">
        <w:rPr>
          <w:sz w:val="20"/>
          <w:szCs w:val="20"/>
        </w:rPr>
        <w:lastRenderedPageBreak/>
        <w:t xml:space="preserve">Management and Budget, 725 17th Street, </w:t>
      </w:r>
      <w:proofErr w:type="gramStart"/>
      <w:r w:rsidRPr="00C9465F">
        <w:rPr>
          <w:sz w:val="20"/>
          <w:szCs w:val="20"/>
        </w:rPr>
        <w:t>NW.,</w:t>
      </w:r>
      <w:proofErr w:type="gramEnd"/>
      <w:r w:rsidRPr="00C9465F">
        <w:rPr>
          <w:sz w:val="20"/>
          <w:szCs w:val="20"/>
        </w:rPr>
        <w:t xml:space="preserve"> Washington, DC 20503, by calling (202) 395-6880 or downloading online at </w:t>
      </w:r>
      <w:r w:rsidRPr="00C9465F">
        <w:rPr>
          <w:i/>
          <w:iCs/>
          <w:sz w:val="20"/>
          <w:szCs w:val="20"/>
        </w:rPr>
        <w:t>http://standards.gov/standards_gov/a119.cfm.</w:t>
      </w:r>
      <w:r w:rsidRPr="00C9465F">
        <w:rPr>
          <w:sz w:val="20"/>
          <w:szCs w:val="20"/>
        </w:rPr>
        <w:t xml:space="preserve"> The VCSB shall approve all accrediting bodies. The Administrator will review all technical criteria documents. If the technical criteria documents do not meet the minimum technical requirements in paragraphs (g</w:t>
      </w:r>
      <w:proofErr w:type="gramStart"/>
      <w:r w:rsidRPr="00C9465F">
        <w:rPr>
          <w:sz w:val="20"/>
          <w:szCs w:val="20"/>
        </w:rPr>
        <w:t>)(</w:t>
      </w:r>
      <w:proofErr w:type="gramEnd"/>
      <w:r w:rsidRPr="00C9465F">
        <w:rPr>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9465F">
        <w:rPr>
          <w:i/>
          <w:iCs/>
          <w:sz w:val="20"/>
          <w:szCs w:val="20"/>
        </w:rPr>
        <w:t>http://www.epa.gov/ttn/emc.</w:t>
      </w:r>
      <w:r w:rsidRPr="00C9465F">
        <w:rPr>
          <w:sz w:val="20"/>
          <w:szCs w:val="20"/>
        </w:rPr>
        <w:t xml:space="preserve"> </w:t>
      </w:r>
    </w:p>
    <w:p w:rsidR="00237F2E" w:rsidRPr="00237F2E" w:rsidRDefault="001F685B" w:rsidP="001F685B">
      <w:pPr>
        <w:spacing w:after="120"/>
        <w:rPr>
          <w:sz w:val="20"/>
          <w:szCs w:val="20"/>
        </w:rPr>
      </w:pPr>
      <w:r w:rsidRPr="00C9465F">
        <w:rPr>
          <w:sz w:val="20"/>
          <w:szCs w:val="20"/>
        </w:rPr>
        <w:t>[36 FR 24877, Dec. 23, 1971, as amended at 39 FR 9314, Mar. 8, 1974; 42 FR 57126, Nov. 1, 1977; 44 FR 33612, June 11, 1979; 54 FR 6662, Feb. 14, 1989; 54 FR 21344, May 17, 1989; 64 FR 7463, Feb. 12, 1999; 72 FR 27442, May 16, 2007; 75 FR 55646, Sept. 13, 2010]</w:t>
      </w:r>
      <w:r w:rsidRPr="00237F2E">
        <w:rPr>
          <w:sz w:val="20"/>
          <w:szCs w:val="20"/>
        </w:rPr>
        <w:t xml:space="preserve"> </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00237F2E" w:rsidRPr="00237F2E">
        <w:rPr>
          <w:sz w:val="20"/>
          <w:szCs w:val="20"/>
        </w:rPr>
        <w:t>)(</w:t>
      </w:r>
      <w:proofErr w:type="gramEnd"/>
      <w:r w:rsidR="00237F2E" w:rsidRPr="00237F2E">
        <w:rPr>
          <w:sz w:val="20"/>
          <w:szCs w:val="20"/>
        </w:rPr>
        <w:t xml:space="preserve">6) shall be waived. The rescheduled opacity observations shall be conducted (to the extent possible) under the same operating conditions that existed during the initial performance test conducted under §60.8. The visible </w:t>
      </w:r>
      <w:r w:rsidR="00237F2E" w:rsidRPr="00237F2E">
        <w:rPr>
          <w:sz w:val="20"/>
          <w:szCs w:val="20"/>
        </w:rPr>
        <w:lastRenderedPageBreak/>
        <w:t>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w:t>
      </w:r>
      <w:proofErr w:type="gramStart"/>
      <w:r w:rsidR="00237F2E" w:rsidRPr="00237F2E">
        <w:rPr>
          <w:sz w:val="20"/>
          <w:szCs w:val="20"/>
        </w:rPr>
        <w:t>)(</w:t>
      </w:r>
      <w:proofErr w:type="gramEnd"/>
      <w:r w:rsidR="00237F2E" w:rsidRPr="00237F2E">
        <w:rPr>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00237F2E" w:rsidRPr="00237F2E">
        <w:rPr>
          <w:sz w:val="20"/>
          <w:szCs w:val="20"/>
        </w:rPr>
        <w:t>)(</w:t>
      </w:r>
      <w:proofErr w:type="gramEnd"/>
      <w:r w:rsidR="00237F2E" w:rsidRPr="00237F2E">
        <w:rPr>
          <w:sz w:val="20"/>
          <w:szCs w:val="20"/>
        </w:rPr>
        <w:t>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w:t>
      </w:r>
      <w:proofErr w:type="gramStart"/>
      <w:r w:rsidR="00237F2E" w:rsidRPr="00237F2E">
        <w:rPr>
          <w:sz w:val="20"/>
          <w:szCs w:val="20"/>
        </w:rPr>
        <w:t>)(</w:t>
      </w:r>
      <w:proofErr w:type="gramEnd"/>
      <w:r w:rsidR="00237F2E" w:rsidRPr="00237F2E">
        <w:rPr>
          <w:sz w:val="20"/>
          <w:szCs w:val="20"/>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w:t>
      </w:r>
      <w:r w:rsidR="00237F2E" w:rsidRPr="00237F2E">
        <w:rPr>
          <w:sz w:val="20"/>
          <w:szCs w:val="20"/>
        </w:rPr>
        <w:lastRenderedPageBreak/>
        <w:t>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w:t>
      </w:r>
      <w:proofErr w:type="gramStart"/>
      <w:r w:rsidR="00237F2E" w:rsidRPr="00237F2E">
        <w:rPr>
          <w:sz w:val="20"/>
          <w:szCs w:val="20"/>
        </w:rPr>
        <w:t>)(</w:t>
      </w:r>
      <w:proofErr w:type="gramEnd"/>
      <w:r w:rsidR="00237F2E" w:rsidRPr="00237F2E">
        <w:rPr>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lastRenderedPageBreak/>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lastRenderedPageBreak/>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w:t>
      </w:r>
      <w:proofErr w:type="gramStart"/>
      <w:r w:rsidR="00237F2E" w:rsidRPr="00237F2E">
        <w:rPr>
          <w:sz w:val="20"/>
          <w:szCs w:val="20"/>
        </w:rPr>
        <w:t>)(</w:t>
      </w:r>
      <w:proofErr w:type="gramEnd"/>
      <w:r w:rsidR="00237F2E" w:rsidRPr="00237F2E">
        <w:rPr>
          <w:sz w:val="20"/>
          <w:szCs w:val="20"/>
        </w:rPr>
        <w:t>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w:t>
      </w:r>
      <w:proofErr w:type="gramStart"/>
      <w:r w:rsidR="00237F2E" w:rsidRPr="00237F2E">
        <w:rPr>
          <w:sz w:val="20"/>
          <w:szCs w:val="20"/>
        </w:rPr>
        <w:t xml:space="preserve">( </w:t>
      </w:r>
      <w:r w:rsidR="00237F2E" w:rsidRPr="00237F2E">
        <w:rPr>
          <w:i/>
          <w:iCs/>
          <w:sz w:val="20"/>
          <w:szCs w:val="20"/>
        </w:rPr>
        <w:t>e.g</w:t>
      </w:r>
      <w:proofErr w:type="gramEnd"/>
      <w:r w:rsidR="00237F2E" w:rsidRPr="00237F2E">
        <w:rPr>
          <w:i/>
          <w:iCs/>
          <w:sz w:val="20"/>
          <w:szCs w:val="20"/>
        </w:rPr>
        <w:t xml:space="preserve">.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lastRenderedPageBreak/>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 xml:space="preserve">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w:t>
      </w:r>
      <w:r w:rsidR="00237F2E" w:rsidRPr="00237F2E">
        <w:rPr>
          <w:sz w:val="20"/>
          <w:szCs w:val="20"/>
        </w:rPr>
        <w:lastRenderedPageBreak/>
        <w:t>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00237F2E" w:rsidRPr="00237F2E">
        <w:rPr>
          <w:sz w:val="20"/>
          <w:szCs w:val="20"/>
        </w:rPr>
        <w:t>)(</w:t>
      </w:r>
      <w:proofErr w:type="gramEnd"/>
      <w:r w:rsidR="00237F2E" w:rsidRPr="00237F2E">
        <w:rPr>
          <w:sz w:val="20"/>
          <w:szCs w:val="20"/>
        </w:rPr>
        <w:t>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lastRenderedPageBreak/>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w:t>
      </w:r>
      <w:proofErr w:type="gramStart"/>
      <w:r>
        <w:rPr>
          <w:sz w:val="20"/>
          <w:szCs w:val="20"/>
        </w:rPr>
        <w:t>iii</w:t>
      </w:r>
      <w:proofErr w:type="gramEnd"/>
      <w:r>
        <w:rPr>
          <w:sz w:val="20"/>
          <w:szCs w:val="20"/>
        </w:rPr>
        <w:t>)</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lastRenderedPageBreak/>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237F2E" w:rsidRPr="00237F2E" w:rsidRDefault="00237F2E" w:rsidP="00237F2E">
      <w:pPr>
        <w:spacing w:after="120"/>
        <w:outlineLvl w:val="4"/>
        <w:rPr>
          <w:b/>
          <w:bCs/>
          <w:sz w:val="20"/>
          <w:szCs w:val="20"/>
        </w:rPr>
      </w:pPr>
      <w:r w:rsidRPr="00237F2E">
        <w:rPr>
          <w:b/>
          <w:bCs/>
          <w:sz w:val="20"/>
          <w:szCs w:val="20"/>
        </w:rPr>
        <w:t>§ 60.17   Incorporations by reference.</w:t>
      </w:r>
    </w:p>
    <w:p w:rsidR="0007049D" w:rsidRPr="00201165" w:rsidRDefault="0007049D" w:rsidP="0007049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smartTag w:uri="urn:schemas-microsoft-com:office:smarttags" w:element="place">
        <w:smartTag w:uri="urn:schemas-microsoft-com:office:smarttags" w:element="City">
          <w:r w:rsidRPr="00201165">
            <w:rPr>
              <w:sz w:val="20"/>
              <w:szCs w:val="20"/>
            </w:rPr>
            <w:t>Research</w:t>
          </w:r>
          <w:proofErr w:type="gramEnd"/>
          <w:r w:rsidRPr="00201165">
            <w:rPr>
              <w:sz w:val="20"/>
              <w:szCs w:val="20"/>
            </w:rPr>
            <w:t xml:space="preserve">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ASTM A482–76, 93, Standard Specification for Ferrochromesilicon,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ASTM A483–64, 74 (Reapproved 1988), Standard Specification for Silicomanganese,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 xml:space="preserve">ASTM D86–78, 82, 90, 93, 95, 96, Distillation of Petroleum Products, IBR approved for §§60.562–2(d), 60.593(d), </w:t>
      </w:r>
      <w:proofErr w:type="gramStart"/>
      <w:r w:rsidRPr="00201165">
        <w:rPr>
          <w:sz w:val="20"/>
          <w:szCs w:val="20"/>
        </w:rPr>
        <w:t>60.593a(</w:t>
      </w:r>
      <w:proofErr w:type="gramEnd"/>
      <w:r w:rsidRPr="00201165">
        <w:rPr>
          <w:sz w:val="20"/>
          <w:szCs w:val="20"/>
        </w:rPr>
        <w:t>d), and 60.633(h).</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w:t>
      </w:r>
      <w:proofErr w:type="gramStart"/>
      <w:r w:rsidRPr="00201165">
        <w:rPr>
          <w:sz w:val="20"/>
          <w:szCs w:val="20"/>
        </w:rPr>
        <w:t>)(</w:t>
      </w:r>
      <w:proofErr w:type="gramEnd"/>
      <w:r w:rsidRPr="00201165">
        <w:rPr>
          <w:sz w:val="20"/>
          <w:szCs w:val="20"/>
        </w:rPr>
        <w:t>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 xml:space="preserve">ASTM D975–78, 96, 98a, Standard Specification for Diesel Fuel Oils, IBR approved for §§60.111(b) of subpart K of this part and </w:t>
      </w:r>
      <w:proofErr w:type="gramStart"/>
      <w:r w:rsidRPr="00201165">
        <w:rPr>
          <w:sz w:val="20"/>
          <w:szCs w:val="20"/>
        </w:rPr>
        <w:t>60.111a(</w:t>
      </w:r>
      <w:proofErr w:type="gramEnd"/>
      <w:r w:rsidRPr="00201165">
        <w:rPr>
          <w:sz w:val="20"/>
          <w:szCs w:val="20"/>
        </w:rPr>
        <w:t>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(17)</w:t>
      </w:r>
      <w:r>
        <w:rPr>
          <w:sz w:val="20"/>
          <w:szCs w:val="20"/>
        </w:rPr>
        <w:tab/>
      </w:r>
      <w:r w:rsidRPr="00201165">
        <w:rPr>
          <w:sz w:val="20"/>
          <w:szCs w:val="20"/>
        </w:rPr>
        <w:t>ASTM D1072–80, 90 (Reapproved 1994), Standard Test Method for Total Sulfur in Fuel Gases, IBR approved for §60.335(b</w:t>
      </w:r>
      <w:proofErr w:type="gramStart"/>
      <w:r w:rsidRPr="00201165">
        <w:rPr>
          <w:sz w:val="20"/>
          <w:szCs w:val="20"/>
        </w:rPr>
        <w:t>)(</w:t>
      </w:r>
      <w:proofErr w:type="gramEnd"/>
      <w:r w:rsidRPr="00201165">
        <w:rPr>
          <w:sz w:val="20"/>
          <w:szCs w:val="20"/>
        </w:rPr>
        <w:t>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w:t>
      </w:r>
      <w:proofErr w:type="gramStart"/>
      <w:r w:rsidRPr="00201165">
        <w:rPr>
          <w:sz w:val="20"/>
          <w:szCs w:val="20"/>
        </w:rPr>
        <w:t>)(</w:t>
      </w:r>
      <w:proofErr w:type="gramEnd"/>
      <w:r w:rsidRPr="00201165">
        <w:rPr>
          <w:sz w:val="20"/>
          <w:szCs w:val="20"/>
        </w:rPr>
        <w:t>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w:t>
      </w:r>
      <w:proofErr w:type="gramStart"/>
      <w:r w:rsidRPr="00201165">
        <w:rPr>
          <w:sz w:val="20"/>
          <w:szCs w:val="20"/>
        </w:rPr>
        <w:t>)(</w:t>
      </w:r>
      <w:proofErr w:type="gramEnd"/>
      <w:r w:rsidRPr="00201165">
        <w:rPr>
          <w:sz w:val="20"/>
          <w:szCs w:val="20"/>
        </w:rPr>
        <w:t>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w:t>
      </w:r>
      <w:proofErr w:type="gramStart"/>
      <w:r w:rsidRPr="00201165">
        <w:rPr>
          <w:sz w:val="20"/>
          <w:szCs w:val="20"/>
        </w:rPr>
        <w:t>)e1</w:t>
      </w:r>
      <w:proofErr w:type="gramEnd"/>
      <w:r w:rsidRPr="00201165">
        <w:rPr>
          <w:sz w:val="20"/>
          <w:szCs w:val="20"/>
        </w:rPr>
        <w:t>, Standard Test Method for Sulfur in Petroleum Products (Lamp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w:t>
      </w:r>
      <w:proofErr w:type="gramStart"/>
      <w:r w:rsidRPr="00201165">
        <w:rPr>
          <w:sz w:val="20"/>
          <w:szCs w:val="20"/>
        </w:rPr>
        <w:t>)(</w:t>
      </w:r>
      <w:proofErr w:type="gramEnd"/>
      <w:r w:rsidRPr="00201165">
        <w:rPr>
          <w:sz w:val="20"/>
          <w:szCs w:val="20"/>
        </w:rPr>
        <w:t>2), 60.335(b)(10)(i),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w:t>
      </w:r>
      <w:proofErr w:type="gramStart"/>
      <w:r w:rsidRPr="00201165">
        <w:rPr>
          <w:sz w:val="20"/>
          <w:szCs w:val="20"/>
        </w:rPr>
        <w:t>)(</w:t>
      </w:r>
      <w:proofErr w:type="gramEnd"/>
      <w:r w:rsidRPr="00201165">
        <w:rPr>
          <w:sz w:val="20"/>
          <w:szCs w:val="20"/>
        </w:rPr>
        <w:t>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(29)</w:t>
      </w:r>
      <w:r>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w:t>
      </w:r>
      <w:proofErr w:type="gramStart"/>
      <w:r w:rsidRPr="00201165">
        <w:rPr>
          <w:sz w:val="20"/>
          <w:szCs w:val="20"/>
        </w:rPr>
        <w:t>)(</w:t>
      </w:r>
      <w:proofErr w:type="gramEnd"/>
      <w:r w:rsidRPr="00201165">
        <w:rPr>
          <w:sz w:val="20"/>
          <w:szCs w:val="20"/>
        </w:rPr>
        <w:t>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r w:rsidR="00FD1095">
        <w:rPr>
          <w:sz w:val="20"/>
          <w:szCs w:val="20"/>
        </w:rPr>
        <w:t>Noncondensi</w:t>
      </w:r>
      <w:r w:rsidR="00FD1095" w:rsidRPr="00201165">
        <w:rPr>
          <w:sz w:val="20"/>
          <w:szCs w:val="20"/>
        </w:rPr>
        <w:t>ble</w:t>
      </w:r>
      <w:r w:rsidRPr="00201165">
        <w:rPr>
          <w:sz w:val="20"/>
          <w:szCs w:val="20"/>
        </w:rPr>
        <w:t xml:space="preserve"> Gases in C3 and Lighter Hydrocarbon Products by Gas Chromatography, IBR approved for §§60.485(g</w:t>
      </w:r>
      <w:proofErr w:type="gramStart"/>
      <w:r w:rsidRPr="00201165">
        <w:rPr>
          <w:sz w:val="20"/>
          <w:szCs w:val="20"/>
        </w:rPr>
        <w:t>)(</w:t>
      </w:r>
      <w:proofErr w:type="gramEnd"/>
      <w:r w:rsidRPr="00201165">
        <w:rPr>
          <w:sz w:val="20"/>
          <w:szCs w:val="20"/>
        </w:rPr>
        <w:t>5) and 60.485a(g)(5).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w:t>
      </w:r>
      <w:proofErr w:type="gramStart"/>
      <w:r w:rsidRPr="00201165">
        <w:rPr>
          <w:sz w:val="20"/>
          <w:szCs w:val="20"/>
        </w:rPr>
        <w:t>)(</w:t>
      </w:r>
      <w:proofErr w:type="gramEnd"/>
      <w:r w:rsidRPr="00201165">
        <w:rPr>
          <w:sz w:val="20"/>
          <w:szCs w:val="20"/>
        </w:rPr>
        <w:t>3)(i).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w:t>
      </w:r>
      <w:proofErr w:type="gramStart"/>
      <w:r w:rsidRPr="00201165">
        <w:rPr>
          <w:sz w:val="20"/>
          <w:szCs w:val="20"/>
        </w:rPr>
        <w:t>)(</w:t>
      </w:r>
      <w:proofErr w:type="gramEnd"/>
      <w:r w:rsidRPr="00201165">
        <w:rPr>
          <w:sz w:val="20"/>
          <w:szCs w:val="20"/>
        </w:rPr>
        <w:t>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w:t>
      </w:r>
      <w:proofErr w:type="gramStart"/>
      <w:r w:rsidRPr="00201165">
        <w:rPr>
          <w:sz w:val="20"/>
          <w:szCs w:val="20"/>
        </w:rPr>
        <w:t>)(</w:t>
      </w:r>
      <w:proofErr w:type="gramEnd"/>
      <w:r w:rsidRPr="00201165">
        <w:rPr>
          <w:sz w:val="20"/>
          <w:szCs w:val="20"/>
        </w:rPr>
        <w:t>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w:t>
      </w:r>
      <w:proofErr w:type="gramStart"/>
      <w:r w:rsidRPr="00201165">
        <w:rPr>
          <w:sz w:val="20"/>
          <w:szCs w:val="20"/>
        </w:rPr>
        <w:t>)(</w:t>
      </w:r>
      <w:proofErr w:type="gramEnd"/>
      <w:r w:rsidRPr="00201165">
        <w:rPr>
          <w:sz w:val="20"/>
          <w:szCs w:val="20"/>
        </w:rPr>
        <w:t>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 xml:space="preserve">ASTM D2880–78, 96, Standard Specification for Gas Turbine Fuel Oils, IBR approved for §§60.111(b), </w:t>
      </w:r>
      <w:proofErr w:type="gramStart"/>
      <w:r w:rsidRPr="00201165">
        <w:rPr>
          <w:sz w:val="20"/>
          <w:szCs w:val="20"/>
        </w:rPr>
        <w:t>60.111a(</w:t>
      </w:r>
      <w:proofErr w:type="gramEnd"/>
      <w:r w:rsidRPr="00201165">
        <w:rPr>
          <w:sz w:val="20"/>
          <w:szCs w:val="20"/>
        </w:rPr>
        <w:t>b), and 60.335(d).</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w:t>
      </w:r>
      <w:proofErr w:type="gramStart"/>
      <w:r w:rsidRPr="00201165">
        <w:rPr>
          <w:sz w:val="20"/>
          <w:szCs w:val="20"/>
        </w:rPr>
        <w:t>)(</w:t>
      </w:r>
      <w:proofErr w:type="gramEnd"/>
      <w:r w:rsidRPr="00201165">
        <w:rPr>
          <w:sz w:val="20"/>
          <w:szCs w:val="20"/>
        </w:rPr>
        <w:t>5)(i) and Appendix A: Method 19, Section 12.3.2.3.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w:t>
      </w:r>
      <w:proofErr w:type="gramStart"/>
      <w:r w:rsidRPr="00201165">
        <w:rPr>
          <w:sz w:val="20"/>
          <w:szCs w:val="20"/>
        </w:rPr>
        <w:t>)(</w:t>
      </w:r>
      <w:proofErr w:type="gramEnd"/>
      <w:r w:rsidRPr="00201165">
        <w:rPr>
          <w:sz w:val="20"/>
          <w:szCs w:val="20"/>
        </w:rPr>
        <w:t>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(49)</w:t>
      </w:r>
      <w:r>
        <w:rPr>
          <w:sz w:val="20"/>
          <w:szCs w:val="20"/>
        </w:rPr>
        <w:tab/>
      </w:r>
      <w:r w:rsidRPr="00201165">
        <w:rPr>
          <w:sz w:val="20"/>
          <w:szCs w:val="20"/>
        </w:rPr>
        <w:t>ASTM D3246–81, 92, 96, Standard Test Method for Sulfur in Petroleum Gas by Oxidative Microcoulometry, IBR approved for §60.335(b</w:t>
      </w:r>
      <w:proofErr w:type="gramStart"/>
      <w:r w:rsidRPr="00201165">
        <w:rPr>
          <w:sz w:val="20"/>
          <w:szCs w:val="20"/>
        </w:rPr>
        <w:t>)(</w:t>
      </w:r>
      <w:proofErr w:type="gramEnd"/>
      <w:r w:rsidRPr="00201165">
        <w:rPr>
          <w:sz w:val="20"/>
          <w:szCs w:val="20"/>
        </w:rPr>
        <w:t>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ASTM D3246–05, Standard Test Method for Sulfur in Petroleum Gas by Oxidative Microcoulometry, IBR approved for §60.4415(a</w:t>
      </w:r>
      <w:proofErr w:type="gramStart"/>
      <w:r w:rsidRPr="00201165">
        <w:rPr>
          <w:sz w:val="20"/>
          <w:szCs w:val="20"/>
        </w:rPr>
        <w:t>)(</w:t>
      </w:r>
      <w:proofErr w:type="gramEnd"/>
      <w:r w:rsidRPr="00201165">
        <w:rPr>
          <w:sz w:val="20"/>
          <w:szCs w:val="20"/>
        </w:rPr>
        <w:t>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w:t>
      </w:r>
      <w:proofErr w:type="gramStart"/>
      <w:r w:rsidRPr="00201165">
        <w:rPr>
          <w:sz w:val="20"/>
          <w:szCs w:val="20"/>
        </w:rPr>
        <w:t>)(</w:t>
      </w:r>
      <w:proofErr w:type="gramEnd"/>
      <w:r w:rsidRPr="00201165">
        <w:rPr>
          <w:sz w:val="20"/>
          <w:szCs w:val="20"/>
        </w:rPr>
        <w:t>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w:t>
      </w:r>
      <w:proofErr w:type="gramStart"/>
      <w:r w:rsidRPr="00201165">
        <w:rPr>
          <w:sz w:val="20"/>
          <w:szCs w:val="20"/>
        </w:rPr>
        <w:t>)(</w:t>
      </w:r>
      <w:proofErr w:type="gramEnd"/>
      <w:r w:rsidRPr="00201165">
        <w:rPr>
          <w:sz w:val="20"/>
          <w:szCs w:val="20"/>
        </w:rPr>
        <w:t>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w:t>
      </w:r>
      <w:proofErr w:type="gramStart"/>
      <w:r w:rsidRPr="00201165">
        <w:rPr>
          <w:sz w:val="20"/>
          <w:szCs w:val="20"/>
        </w:rPr>
        <w:t>)(</w:t>
      </w:r>
      <w:proofErr w:type="gramEnd"/>
      <w:r w:rsidRPr="00201165">
        <w:rPr>
          <w:sz w:val="20"/>
          <w:szCs w:val="20"/>
        </w:rPr>
        <w:t>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w:t>
      </w:r>
      <w:proofErr w:type="gramStart"/>
      <w:r w:rsidRPr="00201165">
        <w:rPr>
          <w:sz w:val="20"/>
          <w:szCs w:val="20"/>
        </w:rPr>
        <w:t>)(</w:t>
      </w:r>
      <w:proofErr w:type="gramEnd"/>
      <w:r w:rsidRPr="00201165">
        <w:rPr>
          <w:sz w:val="20"/>
          <w:szCs w:val="20"/>
        </w:rPr>
        <w:t>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(75)</w:t>
      </w:r>
      <w:r>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ASTM D5762–02, Standard Test Method for Nitrogen in Petroleum and Petroleum Products by Boat-Inlet Chemiluminescence,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w:t>
      </w:r>
      <w:proofErr w:type="gramStart"/>
      <w:r w:rsidRPr="00201165">
        <w:rPr>
          <w:sz w:val="20"/>
          <w:szCs w:val="20"/>
        </w:rPr>
        <w:t>)(</w:t>
      </w:r>
      <w:proofErr w:type="gramEnd"/>
      <w:r w:rsidRPr="00201165">
        <w:rPr>
          <w:sz w:val="20"/>
          <w:szCs w:val="20"/>
        </w:rPr>
        <w:t>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w:t>
      </w:r>
      <w:proofErr w:type="gramStart"/>
      <w:r w:rsidRPr="00201165">
        <w:rPr>
          <w:sz w:val="20"/>
          <w:szCs w:val="20"/>
        </w:rPr>
        <w:t>60.485a(</w:t>
      </w:r>
      <w:proofErr w:type="gramEnd"/>
      <w:r w:rsidRPr="00201165">
        <w:rPr>
          <w:sz w:val="20"/>
          <w:szCs w:val="20"/>
        </w:rPr>
        <w:t>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w:t>
      </w:r>
      <w:proofErr w:type="gramStart"/>
      <w:r w:rsidRPr="00201165">
        <w:rPr>
          <w:sz w:val="20"/>
          <w:szCs w:val="20"/>
        </w:rPr>
        <w:t>60.485a(</w:t>
      </w:r>
      <w:proofErr w:type="gramEnd"/>
      <w:r w:rsidRPr="00201165">
        <w:rPr>
          <w:sz w:val="20"/>
          <w:szCs w:val="20"/>
        </w:rPr>
        <w:t>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w:t>
      </w:r>
      <w:proofErr w:type="gramStart"/>
      <w:r w:rsidRPr="00201165">
        <w:rPr>
          <w:sz w:val="20"/>
          <w:szCs w:val="20"/>
        </w:rPr>
        <w:t>60.485a(</w:t>
      </w:r>
      <w:proofErr w:type="gramEnd"/>
      <w:r w:rsidRPr="00201165">
        <w:rPr>
          <w:sz w:val="20"/>
          <w:szCs w:val="20"/>
        </w:rPr>
        <w:t>d)(1), 60.593(b)(2), 60.593a(b)(2), and 60.632(f).</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proofErr w:type="gramStart"/>
      <w:smartTag w:uri="urn:schemas-microsoft-com:office:smarttags" w:element="place">
        <w:r w:rsidRPr="00201165">
          <w:rPr>
            <w:sz w:val="20"/>
            <w:szCs w:val="20"/>
          </w:rPr>
          <w:t>Washington</w:t>
        </w:r>
        <w:proofErr w:type="gramEnd"/>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§§60.111(i), 60.111a(f), 60.111a(f)(1) and 60.116b(e)(2)(i).</w:t>
      </w:r>
    </w:p>
    <w:p w:rsidR="0007049D" w:rsidRPr="00201165" w:rsidRDefault="0007049D" w:rsidP="0007049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w:t>
      </w:r>
      <w:proofErr w:type="gramStart"/>
      <w:r w:rsidRPr="00201165">
        <w:rPr>
          <w:sz w:val="20"/>
          <w:szCs w:val="20"/>
        </w:rPr>
        <w:t>)(</w:t>
      </w:r>
      <w:proofErr w:type="gramEnd"/>
      <w:r w:rsidRPr="00201165">
        <w:rPr>
          <w:sz w:val="20"/>
          <w:szCs w:val="20"/>
        </w:rPr>
        <w:t>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proofErr w:type="gramStart"/>
      <w:smartTag w:uri="urn:schemas-microsoft-com:office:smarttags" w:element="place">
        <w:r w:rsidRPr="00201165">
          <w:rPr>
            <w:sz w:val="20"/>
            <w:szCs w:val="20"/>
          </w:rPr>
          <w:t>Washington</w:t>
        </w:r>
        <w:proofErr w:type="gramEnd"/>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07049D" w:rsidRPr="00201165" w:rsidRDefault="0007049D" w:rsidP="0007049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333 Pfingsten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07049D" w:rsidRPr="00201165" w:rsidRDefault="0007049D" w:rsidP="0007049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07049D" w:rsidRPr="00201165" w:rsidRDefault="0007049D" w:rsidP="0007049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ASME QRO–1–1994, Standard for the Qualification and Certification of Resource Recovery Facility Operators, IBR approved for §§60.56a, </w:t>
      </w:r>
      <w:proofErr w:type="gramStart"/>
      <w:r w:rsidRPr="00201165">
        <w:rPr>
          <w:sz w:val="20"/>
          <w:szCs w:val="20"/>
        </w:rPr>
        <w:t>60.54b(</w:t>
      </w:r>
      <w:proofErr w:type="gramEnd"/>
      <w:r w:rsidRPr="00201165">
        <w:rPr>
          <w:sz w:val="20"/>
          <w:szCs w:val="20"/>
        </w:rPr>
        <w:t>a), 60.54b(b), 60.1185(a), 60.1185(c)(2), 60.1675(a), and 60.1675(c)(2).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 xml:space="preserve">ASME PTC 4.1–1964 (Reaffirmed 1991), Power Test Codes: Test Code for Steam Generating Units (with 1968 and 1969 Addenda), IBR approved for §§60.46b of subpart Db of this part, </w:t>
      </w:r>
      <w:proofErr w:type="gramStart"/>
      <w:r w:rsidRPr="00201165">
        <w:rPr>
          <w:sz w:val="20"/>
          <w:szCs w:val="20"/>
        </w:rPr>
        <w:t>60.58a(</w:t>
      </w:r>
      <w:proofErr w:type="gramEnd"/>
      <w:r w:rsidRPr="00201165">
        <w:rPr>
          <w:sz w:val="20"/>
          <w:szCs w:val="20"/>
        </w:rPr>
        <w:t>h)(6)(ii), 60.58b(i)(6)(ii), 60.1320(a)(3) and 60.1810(a)(3).</w:t>
      </w:r>
    </w:p>
    <w:p w:rsidR="0007049D" w:rsidRPr="00201165" w:rsidRDefault="0007049D" w:rsidP="0007049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w:t>
      </w:r>
      <w:proofErr w:type="gramStart"/>
      <w:r w:rsidRPr="00201165">
        <w:rPr>
          <w:sz w:val="20"/>
          <w:szCs w:val="20"/>
        </w:rPr>
        <w:t>60.58a(</w:t>
      </w:r>
      <w:proofErr w:type="gramEnd"/>
      <w:r w:rsidRPr="00201165">
        <w:rPr>
          <w:sz w:val="20"/>
          <w:szCs w:val="20"/>
        </w:rPr>
        <w:t>h)(6)(ii), 60.58b(i)(6)(ii), 60.1320(a)4), and 60.1810(a)(4).</w:t>
      </w:r>
    </w:p>
    <w:p w:rsidR="0007049D" w:rsidRPr="00201165" w:rsidRDefault="0007049D" w:rsidP="0007049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201165" w:rsidRDefault="0007049D" w:rsidP="0007049D">
      <w:pPr>
        <w:pStyle w:val="NormalWeb"/>
        <w:spacing w:before="0" w:beforeAutospacing="0" w:after="120" w:afterAutospacing="0"/>
        <w:ind w:left="360" w:hanging="360"/>
        <w:rPr>
          <w:sz w:val="20"/>
          <w:szCs w:val="20"/>
        </w:rPr>
      </w:pPr>
      <w:r>
        <w:rPr>
          <w:sz w:val="20"/>
          <w:szCs w:val="20"/>
        </w:rPr>
        <w:lastRenderedPageBreak/>
        <w:t>(i)</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201165">
            <w:rPr>
              <w:sz w:val="20"/>
              <w:szCs w:val="20"/>
            </w:rPr>
            <w:t>American</w:t>
          </w:r>
        </w:smartTag>
        <w:r w:rsidRPr="00201165">
          <w:rPr>
            <w:sz w:val="20"/>
            <w:szCs w:val="20"/>
          </w:rPr>
          <w:t xml:space="preserve"> </w:t>
        </w:r>
        <w:smartTag w:uri="urn:schemas-microsoft-com:office:smarttags" w:element="PlaceType">
          <w:r w:rsidRPr="00201165">
            <w:rPr>
              <w:sz w:val="20"/>
              <w:szCs w:val="20"/>
            </w:rPr>
            <w:t>Hospital</w:t>
          </w:r>
        </w:smartTag>
      </w:smartTag>
      <w:r w:rsidRPr="00201165">
        <w:rPr>
          <w:sz w:val="20"/>
          <w:szCs w:val="20"/>
        </w:rPr>
        <w:t xml:space="preserve">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07049D" w:rsidRPr="00201165" w:rsidRDefault="0007049D" w:rsidP="0007049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rPr>
          <w:sz w:val="20"/>
          <w:szCs w:val="20"/>
        </w:rPr>
      </w:pPr>
      <w:r w:rsidRPr="00201165">
        <w:rPr>
          <w:sz w:val="20"/>
          <w:szCs w:val="20"/>
        </w:rPr>
        <w:t>[48 FR 3735, Jan. 27, 1983]</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For</w:t>
      </w:r>
      <w:r w:rsidR="0007049D">
        <w:rPr>
          <w:sz w:val="20"/>
          <w:szCs w:val="20"/>
        </w:rPr>
        <w:t xml:space="preserve"> </w:t>
      </w:r>
      <w:r w:rsidRPr="00237F2E">
        <w:rPr>
          <w:sz w:val="20"/>
          <w:szCs w:val="20"/>
        </w:rPr>
        <w:t>Federal Register</w:t>
      </w:r>
      <w:r w:rsidR="0007049D">
        <w:rPr>
          <w:sz w:val="20"/>
          <w:szCs w:val="20"/>
        </w:rPr>
        <w:t xml:space="preserve"> </w:t>
      </w:r>
      <w:r w:rsidRPr="00237F2E">
        <w:rPr>
          <w:sz w:val="20"/>
          <w:szCs w:val="20"/>
        </w:rPr>
        <w:t>citations affecting §60.17,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lastRenderedPageBreak/>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w:t>
      </w:r>
      <w:proofErr w:type="gramStart"/>
      <w:r w:rsidR="00237F2E" w:rsidRPr="00237F2E">
        <w:rPr>
          <w:sz w:val="20"/>
          <w:szCs w:val="20"/>
        </w:rPr>
        <w:t>)(</w:t>
      </w:r>
      <w:proofErr w:type="gramEnd"/>
      <w:r w:rsidR="00237F2E" w:rsidRPr="00237F2E">
        <w:rPr>
          <w:sz w:val="20"/>
          <w:szCs w:val="20"/>
        </w:rPr>
        <w:t>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t>(</w:t>
      </w:r>
      <w:proofErr w:type="gramStart"/>
      <w:r w:rsidRPr="00237F2E">
        <w:rPr>
          <w:sz w:val="20"/>
          <w:szCs w:val="20"/>
        </w:rPr>
        <w:t>i</w:t>
      </w:r>
      <w:proofErr w:type="gramEnd"/>
      <w:r w:rsidRPr="00237F2E">
        <w:rPr>
          <w:sz w:val="20"/>
          <w:szCs w:val="20"/>
        </w:rPr>
        <w:t>)</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proofErr w:type="gramStart"/>
      <w:r w:rsidRPr="00237F2E">
        <w:rPr>
          <w:sz w:val="20"/>
          <w:szCs w:val="20"/>
        </w:rPr>
        <w:t>=(</w:t>
      </w:r>
      <w:proofErr w:type="gramEnd"/>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proofErr w:type="gramStart"/>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proofErr w:type="gramStart"/>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proofErr w:type="gramStart"/>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proofErr w:type="gramStart"/>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w:t>
      </w:r>
      <w:proofErr w:type="gramStart"/>
      <w:r w:rsidR="00237F2E" w:rsidRPr="00237F2E">
        <w:rPr>
          <w:sz w:val="20"/>
          <w:szCs w:val="20"/>
        </w:rPr>
        <w:t>)(</w:t>
      </w:r>
      <w:proofErr w:type="gramEnd"/>
      <w:r w:rsidR="00237F2E" w:rsidRPr="00237F2E">
        <w:rPr>
          <w:sz w:val="20"/>
          <w:szCs w:val="20"/>
        </w:rPr>
        <w:t>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00237F2E" w:rsidRPr="00237F2E">
        <w:rPr>
          <w:sz w:val="20"/>
          <w:szCs w:val="20"/>
        </w:rPr>
        <w:t>)(</w:t>
      </w:r>
      <w:proofErr w:type="gramEnd"/>
      <w:r w:rsidR="00237F2E" w:rsidRPr="00237F2E">
        <w:rPr>
          <w:sz w:val="20"/>
          <w:szCs w:val="20"/>
        </w:rPr>
        <w:t>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w:t>
      </w:r>
      <w:proofErr w:type="gramStart"/>
      <w:r w:rsidR="00237F2E" w:rsidRPr="00237F2E">
        <w:rPr>
          <w:sz w:val="20"/>
          <w:szCs w:val="20"/>
        </w:rPr>
        <w:t>)(</w:t>
      </w:r>
      <w:proofErr w:type="gramEnd"/>
      <w:r w:rsidR="00237F2E" w:rsidRPr="00237F2E">
        <w:rPr>
          <w:sz w:val="20"/>
          <w:szCs w:val="20"/>
        </w:rPr>
        <w:t>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lastRenderedPageBreak/>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BC348E" w:rsidP="007E21C3">
      <w:pPr>
        <w:spacing w:after="120"/>
        <w:jc w:val="center"/>
        <w:rPr>
          <w:sz w:val="20"/>
          <w:szCs w:val="20"/>
        </w:rPr>
      </w:pPr>
      <w:r w:rsidRPr="00237F2E">
        <w:rPr>
          <w:noProof/>
          <w:sz w:val="20"/>
          <w:szCs w:val="20"/>
        </w:rPr>
        <w:drawing>
          <wp:inline distT="0" distB="0" distL="0" distR="0">
            <wp:extent cx="1200150" cy="323850"/>
            <wp:effectExtent l="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p>
    <w:p w:rsidR="00237F2E" w:rsidRPr="00237F2E" w:rsidRDefault="00E67013" w:rsidP="007E21C3">
      <w:pPr>
        <w:spacing w:after="120"/>
        <w:jc w:val="center"/>
        <w:rPr>
          <w:sz w:val="20"/>
          <w:szCs w:val="20"/>
        </w:rPr>
      </w:pPr>
      <w:hyperlink r:id="rId11"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proofErr w:type="gramStart"/>
      <w:r w:rsidRPr="00237F2E">
        <w:rPr>
          <w:sz w:val="20"/>
          <w:szCs w:val="20"/>
        </w:rPr>
        <w:t>where</w:t>
      </w:r>
      <w:proofErr w:type="gramEnd"/>
      <w:r w:rsidRPr="00237F2E">
        <w:rPr>
          <w:sz w:val="20"/>
          <w:szCs w:val="20"/>
        </w:rPr>
        <w: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BC348E" w:rsidP="007E21C3">
      <w:pPr>
        <w:spacing w:after="120"/>
        <w:jc w:val="center"/>
        <w:rPr>
          <w:sz w:val="20"/>
          <w:szCs w:val="20"/>
        </w:rPr>
      </w:pPr>
      <w:r w:rsidRPr="00237F2E">
        <w:rPr>
          <w:noProof/>
          <w:sz w:val="20"/>
          <w:szCs w:val="20"/>
        </w:rPr>
        <w:drawing>
          <wp:inline distT="0" distB="0" distL="0" distR="0">
            <wp:extent cx="3381375" cy="581025"/>
            <wp:effectExtent l="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237F2E" w:rsidRPr="00237F2E" w:rsidRDefault="00E67013" w:rsidP="007E21C3">
      <w:pPr>
        <w:spacing w:after="120"/>
        <w:jc w:val="center"/>
        <w:rPr>
          <w:sz w:val="20"/>
          <w:szCs w:val="20"/>
        </w:rPr>
      </w:pPr>
      <w:hyperlink r:id="rId13"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proofErr w:type="gramStart"/>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w:t>
      </w:r>
      <w:proofErr w:type="gramStart"/>
      <w:r w:rsidR="00237F2E" w:rsidRPr="00237F2E">
        <w:rPr>
          <w:sz w:val="20"/>
          <w:szCs w:val="20"/>
        </w:rPr>
        <w:t>)(</w:t>
      </w:r>
      <w:proofErr w:type="gramEnd"/>
      <w:r w:rsidR="00237F2E" w:rsidRPr="00237F2E">
        <w:rPr>
          <w:sz w:val="20"/>
          <w:szCs w:val="20"/>
        </w:rPr>
        <w:t>4)(iii) shall be determined by the following equation.</w:t>
      </w:r>
    </w:p>
    <w:p w:rsidR="00237F2E" w:rsidRPr="00237F2E" w:rsidRDefault="00237F2E" w:rsidP="007E21C3">
      <w:pPr>
        <w:spacing w:after="120"/>
        <w:jc w:val="center"/>
        <w:rPr>
          <w:sz w:val="20"/>
          <w:szCs w:val="20"/>
        </w:rPr>
      </w:pPr>
      <w:proofErr w:type="gramStart"/>
      <w:r w:rsidRPr="00237F2E">
        <w:rPr>
          <w:sz w:val="20"/>
          <w:szCs w:val="20"/>
        </w:rPr>
        <w:t>Log</w:t>
      </w:r>
      <w:r w:rsidRPr="00237F2E">
        <w:rPr>
          <w:sz w:val="20"/>
          <w:szCs w:val="20"/>
          <w:vertAlign w:val="subscript"/>
        </w:rPr>
        <w:t>10</w:t>
      </w:r>
      <w:r w:rsidRPr="00237F2E">
        <w:rPr>
          <w:sz w:val="20"/>
          <w:szCs w:val="20"/>
        </w:rPr>
        <w:t>(</w:t>
      </w:r>
      <w:proofErr w:type="gramEnd"/>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proofErr w:type="gramStart"/>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proofErr w:type="gramStart"/>
      <w:r w:rsidRPr="00237F2E">
        <w:rPr>
          <w:sz w:val="20"/>
          <w:szCs w:val="20"/>
        </w:rPr>
        <w:t>28.8</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proofErr w:type="gramStart"/>
      <w:r w:rsidRPr="00237F2E">
        <w:rPr>
          <w:sz w:val="20"/>
          <w:szCs w:val="20"/>
        </w:rPr>
        <w:t>31.7</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proofErr w:type="gramStart"/>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proofErr w:type="gramStart"/>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proofErr w:type="gramStart"/>
      <w:r w:rsidRPr="00237F2E">
        <w:rPr>
          <w:sz w:val="20"/>
          <w:szCs w:val="20"/>
        </w:rPr>
        <w:t>8.706</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proofErr w:type="gramStart"/>
      <w:r w:rsidRPr="00237F2E">
        <w:rPr>
          <w:sz w:val="20"/>
          <w:szCs w:val="20"/>
        </w:rPr>
        <w:t>0.7084</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proofErr w:type="gramStart"/>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 xml:space="preserve">Paragraphs (g), (h), and (i) of this section apply to all equipment for which the applicable subpart requires monitoring with a 40 CFR part 60, Appendix A–7, Method 21 monitor, except for closed vent systems, equipment designated as leakless, and equipment identified in the applicable </w:t>
      </w:r>
      <w:r w:rsidRPr="00237F2E">
        <w:rPr>
          <w:sz w:val="20"/>
          <w:szCs w:val="20"/>
        </w:rPr>
        <w:lastRenderedPageBreak/>
        <w:t>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237F2E">
        <w:rPr>
          <w:sz w:val="20"/>
          <w:szCs w:val="20"/>
        </w:rPr>
        <w:t>)(</w:t>
      </w:r>
      <w:proofErr w:type="gramEnd"/>
      <w:r w:rsidRPr="00237F2E">
        <w:rPr>
          <w:sz w:val="20"/>
          <w:szCs w:val="20"/>
        </w:rPr>
        <w:t>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proofErr w:type="gramStart"/>
      <w:r>
        <w:rPr>
          <w:sz w:val="20"/>
          <w:szCs w:val="20"/>
        </w:rPr>
        <w:t>(iv)</w:t>
      </w:r>
      <w:r>
        <w:rPr>
          <w:sz w:val="20"/>
          <w:szCs w:val="20"/>
        </w:rPr>
        <w:tab/>
      </w:r>
      <w:r w:rsidR="00237F2E" w:rsidRPr="00237F2E">
        <w:rPr>
          <w:sz w:val="20"/>
          <w:szCs w:val="20"/>
        </w:rPr>
        <w:t>Screening</w:t>
      </w:r>
      <w:proofErr w:type="gramEnd"/>
      <w:r w:rsidR="00237F2E" w:rsidRPr="00237F2E">
        <w:rPr>
          <w:sz w:val="20"/>
          <w:szCs w:val="20"/>
        </w:rPr>
        <w:t xml:space="preserve">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w:t>
      </w:r>
      <w:proofErr w:type="gramStart"/>
      <w:r w:rsidR="00237F2E" w:rsidRPr="00237F2E">
        <w:rPr>
          <w:sz w:val="20"/>
          <w:szCs w:val="20"/>
        </w:rPr>
        <w:t>)(</w:t>
      </w:r>
      <w:proofErr w:type="gramEnd"/>
      <w:r w:rsidR="00237F2E" w:rsidRPr="00237F2E">
        <w:rPr>
          <w:sz w:val="20"/>
          <w:szCs w:val="20"/>
        </w:rPr>
        <w:t>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lastRenderedPageBreak/>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w:t>
      </w:r>
      <w:proofErr w:type="gramStart"/>
      <w:r w:rsidR="00237F2E" w:rsidRPr="00237F2E">
        <w:rPr>
          <w:sz w:val="20"/>
          <w:szCs w:val="20"/>
        </w:rPr>
        <w:t>)(</w:t>
      </w:r>
      <w:proofErr w:type="gramEnd"/>
      <w:r w:rsidR="00237F2E" w:rsidRPr="00237F2E">
        <w:rPr>
          <w:sz w:val="20"/>
          <w:szCs w:val="20"/>
        </w:rPr>
        <w:t>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w:t>
      </w:r>
      <w:proofErr w:type="gramStart"/>
      <w:r w:rsidR="00237F2E" w:rsidRPr="00237F2E">
        <w:rPr>
          <w:sz w:val="20"/>
          <w:szCs w:val="20"/>
        </w:rPr>
        <w:t>)(</w:t>
      </w:r>
      <w:proofErr w:type="gramEnd"/>
      <w:r w:rsidR="00237F2E" w:rsidRPr="00237F2E">
        <w:rPr>
          <w:sz w:val="20"/>
          <w:szCs w:val="20"/>
        </w:rPr>
        <w:t>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w:t>
      </w:r>
      <w:proofErr w:type="gramStart"/>
      <w:r w:rsidR="00237F2E" w:rsidRPr="00237F2E">
        <w:rPr>
          <w:sz w:val="20"/>
          <w:szCs w:val="20"/>
        </w:rPr>
        <w:t>)(</w:t>
      </w:r>
      <w:proofErr w:type="gramEnd"/>
      <w:r w:rsidR="00237F2E" w:rsidRPr="00237F2E">
        <w:rPr>
          <w:sz w:val="20"/>
          <w:szCs w:val="20"/>
        </w:rPr>
        <w:t>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BC348E" w:rsidP="0095587E">
      <w:pPr>
        <w:spacing w:after="120"/>
        <w:jc w:val="center"/>
        <w:rPr>
          <w:sz w:val="20"/>
          <w:szCs w:val="20"/>
        </w:rPr>
      </w:pPr>
      <w:r w:rsidRPr="00237F2E">
        <w:rPr>
          <w:noProof/>
          <w:sz w:val="20"/>
          <w:szCs w:val="20"/>
        </w:rPr>
        <w:drawing>
          <wp:inline distT="0" distB="0" distL="0" distR="0">
            <wp:extent cx="1095375" cy="457200"/>
            <wp:effectExtent l="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proofErr w:type="gramStart"/>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proofErr w:type="gramEnd"/>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proofErr w:type="gramStart"/>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w:t>
      </w:r>
      <w:proofErr w:type="gramEnd"/>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proofErr w:type="gramStart"/>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proofErr w:type="gramEnd"/>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proofErr w:type="gramStart"/>
      <w:r w:rsidRPr="00237F2E">
        <w:rPr>
          <w:sz w:val="20"/>
          <w:szCs w:val="20"/>
        </w:rPr>
        <w:t xml:space="preserve">k </w:t>
      </w:r>
      <w:r w:rsidR="0095587E">
        <w:rPr>
          <w:sz w:val="20"/>
          <w:szCs w:val="20"/>
        </w:rPr>
        <w:t xml:space="preserve"> </w:t>
      </w:r>
      <w:r w:rsidRPr="00237F2E">
        <w:rPr>
          <w:sz w:val="20"/>
          <w:szCs w:val="20"/>
        </w:rPr>
        <w:t>=</w:t>
      </w:r>
      <w:proofErr w:type="gramEnd"/>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proofErr w:type="gramStart"/>
      <w:r>
        <w:rPr>
          <w:sz w:val="20"/>
          <w:szCs w:val="20"/>
        </w:rPr>
        <w:t>(iv)</w:t>
      </w:r>
      <w:r>
        <w:rPr>
          <w:sz w:val="20"/>
          <w:szCs w:val="20"/>
        </w:rPr>
        <w:tab/>
      </w:r>
      <w:r w:rsidR="00237F2E" w:rsidRPr="00237F2E">
        <w:rPr>
          <w:sz w:val="20"/>
          <w:szCs w:val="20"/>
        </w:rPr>
        <w:t>Establish</w:t>
      </w:r>
      <w:proofErr w:type="gramEnd"/>
      <w:r w:rsidR="00237F2E" w:rsidRPr="00237F2E">
        <w:rPr>
          <w:sz w:val="20"/>
          <w:szCs w:val="20"/>
        </w:rPr>
        <w:t xml:space="preserve">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lastRenderedPageBreak/>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w:t>
      </w:r>
      <w:proofErr w:type="gramStart"/>
      <w:r w:rsidR="00237F2E" w:rsidRPr="00237F2E">
        <w:rPr>
          <w:sz w:val="20"/>
          <w:szCs w:val="20"/>
        </w:rPr>
        <w:t>)(</w:t>
      </w:r>
      <w:proofErr w:type="gramEnd"/>
      <w:r w:rsidR="00237F2E" w:rsidRPr="00237F2E">
        <w:rPr>
          <w:sz w:val="20"/>
          <w:szCs w:val="20"/>
        </w:rPr>
        <w:t>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proofErr w:type="gramStart"/>
      <w:r>
        <w:rPr>
          <w:sz w:val="20"/>
          <w:szCs w:val="20"/>
        </w:rPr>
        <w:t>(vi)</w:t>
      </w:r>
      <w:r>
        <w:rPr>
          <w:sz w:val="20"/>
          <w:szCs w:val="20"/>
        </w:rPr>
        <w:tab/>
      </w:r>
      <w:r w:rsidR="00237F2E" w:rsidRPr="00237F2E">
        <w:rPr>
          <w:sz w:val="20"/>
          <w:szCs w:val="20"/>
        </w:rPr>
        <w:t>To</w:t>
      </w:r>
      <w:proofErr w:type="gramEnd"/>
      <w:r w:rsidR="00237F2E" w:rsidRPr="00237F2E">
        <w:rPr>
          <w:sz w:val="20"/>
          <w:szCs w:val="20"/>
        </w:rPr>
        <w:t xml:space="preserve">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w:t>
      </w:r>
      <w:proofErr w:type="gramStart"/>
      <w:r w:rsidR="00237F2E" w:rsidRPr="00237F2E">
        <w:rPr>
          <w:sz w:val="20"/>
          <w:szCs w:val="20"/>
        </w:rPr>
        <w:t>)(</w:t>
      </w:r>
      <w:proofErr w:type="gramEnd"/>
      <w:r w:rsidR="00237F2E" w:rsidRPr="00237F2E">
        <w:rPr>
          <w:sz w:val="20"/>
          <w:szCs w:val="20"/>
        </w:rPr>
        <w:t>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w:t>
      </w:r>
      <w:proofErr w:type="gramStart"/>
      <w:r w:rsidR="00237F2E" w:rsidRPr="00237F2E">
        <w:rPr>
          <w:sz w:val="20"/>
          <w:szCs w:val="20"/>
        </w:rPr>
        <w:t>)(</w:t>
      </w:r>
      <w:proofErr w:type="gramEnd"/>
      <w:r w:rsidR="00237F2E" w:rsidRPr="00237F2E">
        <w:rPr>
          <w:sz w:val="20"/>
          <w:szCs w:val="20"/>
        </w:rPr>
        <w:t>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w:t>
      </w:r>
      <w:proofErr w:type="gramStart"/>
      <w:r w:rsidR="00237F2E" w:rsidRPr="00237F2E">
        <w:rPr>
          <w:sz w:val="20"/>
          <w:szCs w:val="20"/>
        </w:rPr>
        <w:t>)(</w:t>
      </w:r>
      <w:proofErr w:type="gramEnd"/>
      <w:r w:rsidR="00237F2E" w:rsidRPr="00237F2E">
        <w:rPr>
          <w:sz w:val="20"/>
          <w:szCs w:val="20"/>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proofErr w:type="gramStart"/>
      <w:r>
        <w:rPr>
          <w:sz w:val="20"/>
          <w:szCs w:val="20"/>
        </w:rPr>
        <w:t>(vi)</w:t>
      </w:r>
      <w:r>
        <w:rPr>
          <w:sz w:val="20"/>
          <w:szCs w:val="20"/>
        </w:rPr>
        <w:tab/>
      </w:r>
      <w:r w:rsidR="00237F2E" w:rsidRPr="00237F2E">
        <w:rPr>
          <w:sz w:val="20"/>
          <w:szCs w:val="20"/>
        </w:rPr>
        <w:t>Recordkeeping</w:t>
      </w:r>
      <w:proofErr w:type="gramEnd"/>
      <w:r w:rsidR="00237F2E" w:rsidRPr="00237F2E">
        <w:rPr>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w:t>
      </w:r>
      <w:proofErr w:type="gramStart"/>
      <w:r w:rsidR="00237F2E" w:rsidRPr="00237F2E">
        <w:rPr>
          <w:sz w:val="20"/>
          <w:szCs w:val="20"/>
        </w:rPr>
        <w:t>)(</w:t>
      </w:r>
      <w:proofErr w:type="gramEnd"/>
      <w:r w:rsidR="00237F2E" w:rsidRPr="00237F2E">
        <w:rPr>
          <w:sz w:val="20"/>
          <w:szCs w:val="20"/>
        </w:rPr>
        <w:t>7) of this section. Records must be kept for all regulated equipment specified in paragraph (h</w:t>
      </w:r>
      <w:proofErr w:type="gramStart"/>
      <w:r w:rsidR="00237F2E" w:rsidRPr="00237F2E">
        <w:rPr>
          <w:sz w:val="20"/>
          <w:szCs w:val="20"/>
        </w:rPr>
        <w:t>)(</w:t>
      </w:r>
      <w:proofErr w:type="gramEnd"/>
      <w:r w:rsidR="00237F2E" w:rsidRPr="00237F2E">
        <w:rPr>
          <w:sz w:val="20"/>
          <w:szCs w:val="20"/>
        </w:rPr>
        <w:t>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Reporting. Submit the reports required in the applicable subpart. Submit the records of the annual Method 21 screening required in paragraph (h</w:t>
      </w:r>
      <w:proofErr w:type="gramStart"/>
      <w:r w:rsidR="00237F2E" w:rsidRPr="00237F2E">
        <w:rPr>
          <w:sz w:val="20"/>
          <w:szCs w:val="20"/>
        </w:rPr>
        <w:t>)(</w:t>
      </w:r>
      <w:proofErr w:type="gramEnd"/>
      <w:r w:rsidR="00237F2E" w:rsidRPr="00237F2E">
        <w:rPr>
          <w:sz w:val="20"/>
          <w:szCs w:val="20"/>
        </w:rPr>
        <w:t xml:space="preserve">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lastRenderedPageBreak/>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lastRenderedPageBreak/>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proofErr w:type="gramStart"/>
      <w:r w:rsidRPr="00237F2E">
        <w:rPr>
          <w:sz w:val="20"/>
          <w:szCs w:val="20"/>
          <w:vertAlign w:val="superscript"/>
        </w:rPr>
        <w:t>a</w:t>
      </w:r>
      <w:r w:rsidRPr="00237F2E">
        <w:rPr>
          <w:sz w:val="20"/>
          <w:szCs w:val="20"/>
        </w:rPr>
        <w:t>When</w:t>
      </w:r>
      <w:proofErr w:type="gramEnd"/>
      <w:r w:rsidRPr="00237F2E">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even" r:id="rId15"/>
      <w:headerReference w:type="default" r:id="rId16"/>
      <w:footerReference w:type="even" r:id="rId17"/>
      <w:footerReference w:type="default" r:id="rId18"/>
      <w:headerReference w:type="first" r:id="rId19"/>
      <w:footerReference w:type="first" r:id="rId20"/>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524" w:rsidRDefault="00225524">
      <w:r>
        <w:separator/>
      </w:r>
    </w:p>
  </w:endnote>
  <w:endnote w:type="continuationSeparator" w:id="0">
    <w:p w:rsidR="00225524" w:rsidRDefault="0022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A0" w:rsidRDefault="000A7D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A0" w:rsidRDefault="000A7DA0" w:rsidP="000A7DA0">
    <w:pPr>
      <w:pStyle w:val="Footer"/>
      <w:pBdr>
        <w:top w:val="single" w:sz="6" w:space="1" w:color="auto"/>
      </w:pBdr>
      <w:tabs>
        <w:tab w:val="clear" w:pos="8640"/>
        <w:tab w:val="right" w:pos="10080"/>
      </w:tabs>
      <w:spacing w:before="240"/>
      <w:rPr>
        <w:sz w:val="20"/>
      </w:rPr>
    </w:pPr>
    <w:r>
      <w:rPr>
        <w:sz w:val="20"/>
      </w:rPr>
      <w:t>Mosaic Fertilizer, LLC</w:t>
    </w:r>
    <w:r>
      <w:rPr>
        <w:sz w:val="20"/>
      </w:rPr>
      <w:tab/>
    </w:r>
    <w:r>
      <w:rPr>
        <w:sz w:val="20"/>
      </w:rPr>
      <w:tab/>
      <w:t>Permit No. 1050059-088-AV</w:t>
    </w:r>
  </w:p>
  <w:p w:rsidR="000A7DA0" w:rsidRDefault="000A7DA0" w:rsidP="000A7DA0">
    <w:pPr>
      <w:pStyle w:val="Footer"/>
      <w:tabs>
        <w:tab w:val="clear" w:pos="8640"/>
        <w:tab w:val="right" w:pos="10080"/>
      </w:tabs>
      <w:rPr>
        <w:sz w:val="20"/>
      </w:rPr>
    </w:pPr>
    <w:r>
      <w:rPr>
        <w:sz w:val="20"/>
      </w:rPr>
      <w:t>New Wales Facility</w:t>
    </w:r>
    <w:r>
      <w:rPr>
        <w:sz w:val="20"/>
      </w:rPr>
      <w:tab/>
    </w:r>
    <w:r>
      <w:rPr>
        <w:sz w:val="20"/>
      </w:rPr>
      <w:tab/>
      <w:t>Title V Air Operation Permit Revision</w:t>
    </w:r>
  </w:p>
  <w:p w:rsidR="00A63DFD" w:rsidRPr="00126AD3" w:rsidRDefault="00A63DFD" w:rsidP="00E67013">
    <w:pPr>
      <w:pStyle w:val="Footer"/>
      <w:spacing w:before="240"/>
      <w:jc w:val="center"/>
      <w:rPr>
        <w:sz w:val="20"/>
        <w:szCs w:val="20"/>
      </w:rPr>
    </w:pPr>
    <w:r w:rsidRPr="00126AD3">
      <w:rPr>
        <w:sz w:val="20"/>
        <w:szCs w:val="20"/>
      </w:rPr>
      <w:t xml:space="preserve">Page </w:t>
    </w:r>
    <w:r w:rsidRPr="00126AD3">
      <w:rPr>
        <w:rStyle w:val="PageNumber"/>
        <w:sz w:val="20"/>
        <w:szCs w:val="20"/>
      </w:rPr>
      <w:fldChar w:fldCharType="begin"/>
    </w:r>
    <w:r w:rsidRPr="00126AD3">
      <w:rPr>
        <w:rStyle w:val="PageNumber"/>
        <w:sz w:val="20"/>
        <w:szCs w:val="20"/>
      </w:rPr>
      <w:instrText xml:space="preserve"> PAGE </w:instrText>
    </w:r>
    <w:r w:rsidRPr="00126AD3">
      <w:rPr>
        <w:rStyle w:val="PageNumber"/>
        <w:sz w:val="20"/>
        <w:szCs w:val="20"/>
      </w:rPr>
      <w:fldChar w:fldCharType="separate"/>
    </w:r>
    <w:r w:rsidR="00E67013">
      <w:rPr>
        <w:rStyle w:val="PageNumber"/>
        <w:noProof/>
        <w:sz w:val="20"/>
        <w:szCs w:val="20"/>
      </w:rPr>
      <w:t>35</w:t>
    </w:r>
    <w:r w:rsidRPr="00126AD3">
      <w:rPr>
        <w:rStyle w:val="PageNumber"/>
        <w:sz w:val="20"/>
        <w:szCs w:val="20"/>
      </w:rPr>
      <w:fldChar w:fldCharType="end"/>
    </w:r>
    <w:r w:rsidRPr="00126AD3">
      <w:rPr>
        <w:rStyle w:val="PageNumber"/>
        <w:sz w:val="20"/>
        <w:szCs w:val="20"/>
      </w:rPr>
      <w:t xml:space="preserve"> of </w:t>
    </w:r>
    <w:r w:rsidRPr="00126AD3">
      <w:rPr>
        <w:rStyle w:val="PageNumber"/>
        <w:sz w:val="20"/>
        <w:szCs w:val="20"/>
      </w:rPr>
      <w:fldChar w:fldCharType="begin"/>
    </w:r>
    <w:r w:rsidRPr="00126AD3">
      <w:rPr>
        <w:rStyle w:val="PageNumber"/>
        <w:sz w:val="20"/>
        <w:szCs w:val="20"/>
      </w:rPr>
      <w:instrText xml:space="preserve"> NUMPAGES </w:instrText>
    </w:r>
    <w:r w:rsidRPr="00126AD3">
      <w:rPr>
        <w:rStyle w:val="PageNumber"/>
        <w:sz w:val="20"/>
        <w:szCs w:val="20"/>
      </w:rPr>
      <w:fldChar w:fldCharType="separate"/>
    </w:r>
    <w:r w:rsidR="00E67013">
      <w:rPr>
        <w:rStyle w:val="PageNumber"/>
        <w:noProof/>
        <w:sz w:val="20"/>
        <w:szCs w:val="20"/>
      </w:rPr>
      <w:t>35</w:t>
    </w:r>
    <w:r w:rsidRPr="00126AD3">
      <w:rPr>
        <w:rStyle w:val="PageNumbe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A0" w:rsidRDefault="000A7D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524" w:rsidRDefault="00225524">
      <w:r>
        <w:separator/>
      </w:r>
    </w:p>
  </w:footnote>
  <w:footnote w:type="continuationSeparator" w:id="0">
    <w:p w:rsidR="00225524" w:rsidRDefault="00225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A0" w:rsidRDefault="000A7D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DFD" w:rsidRPr="00126AD3" w:rsidRDefault="00657BB2" w:rsidP="00126AD3">
    <w:pPr>
      <w:pStyle w:val="Header"/>
      <w:pBdr>
        <w:bottom w:val="single" w:sz="4" w:space="1" w:color="auto"/>
      </w:pBdr>
      <w:spacing w:after="240"/>
      <w:jc w:val="center"/>
      <w:rPr>
        <w:b/>
        <w:caps/>
        <w:sz w:val="20"/>
        <w:szCs w:val="20"/>
      </w:rPr>
    </w:pPr>
    <w:r>
      <w:rPr>
        <w:b/>
        <w:caps/>
        <w:sz w:val="20"/>
        <w:szCs w:val="20"/>
      </w:rPr>
      <w:t xml:space="preserve">Appendix </w:t>
    </w:r>
    <w:r w:rsidR="00A63DFD" w:rsidRPr="00126AD3">
      <w:rPr>
        <w:b/>
        <w:caps/>
        <w:sz w:val="20"/>
        <w:szCs w:val="20"/>
      </w:rPr>
      <w:t xml:space="preserve">NSPS </w:t>
    </w:r>
    <w:r>
      <w:rPr>
        <w:b/>
        <w:caps/>
        <w:sz w:val="20"/>
        <w:szCs w:val="20"/>
      </w:rPr>
      <w:t xml:space="preserve">40 CFR 60 </w:t>
    </w:r>
    <w:r w:rsidR="00A63DFD" w:rsidRPr="00126AD3">
      <w:rPr>
        <w:b/>
        <w:caps/>
        <w:sz w:val="20"/>
        <w:szCs w:val="20"/>
      </w:rPr>
      <w:t xml:space="preserve">Subpart </w:t>
    </w:r>
    <w:r>
      <w:rPr>
        <w:b/>
        <w:caps/>
        <w:sz w:val="20"/>
        <w:szCs w:val="20"/>
      </w:rPr>
      <w:t>A (</w:t>
    </w:r>
    <w:r w:rsidR="00A63DFD">
      <w:rPr>
        <w:b/>
        <w:caps/>
        <w:sz w:val="20"/>
        <w:szCs w:val="20"/>
      </w:rPr>
      <w:t>General provisions</w:t>
    </w:r>
    <w:r>
      <w:rPr>
        <w:b/>
        <w:caps/>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A0" w:rsidRDefault="000A7D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8D0"/>
    <w:rsid w:val="000368AC"/>
    <w:rsid w:val="0007049D"/>
    <w:rsid w:val="00090AB4"/>
    <w:rsid w:val="000A6B17"/>
    <w:rsid w:val="000A7DA0"/>
    <w:rsid w:val="000D38BB"/>
    <w:rsid w:val="000E18CF"/>
    <w:rsid w:val="00126AD3"/>
    <w:rsid w:val="0017760B"/>
    <w:rsid w:val="001816C9"/>
    <w:rsid w:val="00184392"/>
    <w:rsid w:val="00187A61"/>
    <w:rsid w:val="00197DA2"/>
    <w:rsid w:val="001C7811"/>
    <w:rsid w:val="001F685B"/>
    <w:rsid w:val="00201165"/>
    <w:rsid w:val="00206A4B"/>
    <w:rsid w:val="00225524"/>
    <w:rsid w:val="00237F2E"/>
    <w:rsid w:val="00265426"/>
    <w:rsid w:val="002771C6"/>
    <w:rsid w:val="002E08D0"/>
    <w:rsid w:val="003377F0"/>
    <w:rsid w:val="00396EC6"/>
    <w:rsid w:val="003A21F1"/>
    <w:rsid w:val="004200B0"/>
    <w:rsid w:val="004336C7"/>
    <w:rsid w:val="004814CE"/>
    <w:rsid w:val="004B1C8F"/>
    <w:rsid w:val="004B3A35"/>
    <w:rsid w:val="004E6C18"/>
    <w:rsid w:val="005621BF"/>
    <w:rsid w:val="005A1E44"/>
    <w:rsid w:val="0062272A"/>
    <w:rsid w:val="00630A8B"/>
    <w:rsid w:val="00633D71"/>
    <w:rsid w:val="00644077"/>
    <w:rsid w:val="0065288C"/>
    <w:rsid w:val="00654332"/>
    <w:rsid w:val="00657BB2"/>
    <w:rsid w:val="006A053D"/>
    <w:rsid w:val="006B37F4"/>
    <w:rsid w:val="006E21EA"/>
    <w:rsid w:val="006F35BE"/>
    <w:rsid w:val="007201FE"/>
    <w:rsid w:val="007804AC"/>
    <w:rsid w:val="00797A97"/>
    <w:rsid w:val="007B0ABF"/>
    <w:rsid w:val="007E21C3"/>
    <w:rsid w:val="007E4104"/>
    <w:rsid w:val="007E6A66"/>
    <w:rsid w:val="008537A6"/>
    <w:rsid w:val="00867BC4"/>
    <w:rsid w:val="008A0F72"/>
    <w:rsid w:val="008B69E0"/>
    <w:rsid w:val="008E7638"/>
    <w:rsid w:val="009112B3"/>
    <w:rsid w:val="00935F62"/>
    <w:rsid w:val="0095355B"/>
    <w:rsid w:val="0095587E"/>
    <w:rsid w:val="009957DA"/>
    <w:rsid w:val="00A14DAA"/>
    <w:rsid w:val="00A33E56"/>
    <w:rsid w:val="00A537EC"/>
    <w:rsid w:val="00A63DFD"/>
    <w:rsid w:val="00AB4789"/>
    <w:rsid w:val="00B214EB"/>
    <w:rsid w:val="00B2576B"/>
    <w:rsid w:val="00B271E9"/>
    <w:rsid w:val="00BC348E"/>
    <w:rsid w:val="00C334D6"/>
    <w:rsid w:val="00C371FD"/>
    <w:rsid w:val="00C43B55"/>
    <w:rsid w:val="00CF15AD"/>
    <w:rsid w:val="00CF611D"/>
    <w:rsid w:val="00D15397"/>
    <w:rsid w:val="00D32614"/>
    <w:rsid w:val="00D60195"/>
    <w:rsid w:val="00D71A30"/>
    <w:rsid w:val="00D739B8"/>
    <w:rsid w:val="00D81EFF"/>
    <w:rsid w:val="00DA1448"/>
    <w:rsid w:val="00DB7236"/>
    <w:rsid w:val="00DC0BBE"/>
    <w:rsid w:val="00E2482A"/>
    <w:rsid w:val="00E43118"/>
    <w:rsid w:val="00E6483C"/>
    <w:rsid w:val="00E67013"/>
    <w:rsid w:val="00EB121D"/>
    <w:rsid w:val="00EF4C32"/>
    <w:rsid w:val="00F13E8B"/>
    <w:rsid w:val="00F170E0"/>
    <w:rsid w:val="00F26692"/>
    <w:rsid w:val="00F30F8B"/>
    <w:rsid w:val="00F56B0D"/>
    <w:rsid w:val="00FD1095"/>
    <w:rsid w:val="00FD433C"/>
    <w:rsid w:val="00FE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15:chartTrackingRefBased/>
  <w15:docId w15:val="{12CE9CBE-F838-4E32-BF78-8AC34FE7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link w:val="FooterChar"/>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FooterChar">
    <w:name w:val="Footer Char"/>
    <w:basedOn w:val="DefaultParagraphFont"/>
    <w:link w:val="Footer"/>
    <w:rsid w:val="000A7D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97483">
      <w:bodyDiv w:val="1"/>
      <w:marLeft w:val="0"/>
      <w:marRight w:val="0"/>
      <w:marTop w:val="0"/>
      <w:marBottom w:val="0"/>
      <w:divBdr>
        <w:top w:val="none" w:sz="0" w:space="0" w:color="auto"/>
        <w:left w:val="none" w:sz="0" w:space="0" w:color="auto"/>
        <w:bottom w:val="none" w:sz="0" w:space="0" w:color="auto"/>
        <w:right w:val="none" w:sz="0" w:space="0" w:color="auto"/>
      </w:divBdr>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hyperlink" Target="http://www.access.gpo.gov/ecfr/graphics/pdfs/ec01jn92.009.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cess.gpo.gov/ecfr/graphics/pdfs/ec01jn92.008.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21186</Words>
  <Characters>115109</Characters>
  <Application>Microsoft Office Word</Application>
  <DocSecurity>0</DocSecurity>
  <Lines>959</Lines>
  <Paragraphs>272</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136023</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Noor, Quaid</cp:lastModifiedBy>
  <cp:revision>5</cp:revision>
  <cp:lastPrinted>2008-05-02T13:09:00Z</cp:lastPrinted>
  <dcterms:created xsi:type="dcterms:W3CDTF">2014-03-06T20:52:00Z</dcterms:created>
  <dcterms:modified xsi:type="dcterms:W3CDTF">2014-03-21T12:26:00Z</dcterms:modified>
</cp:coreProperties>
</file>